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720" w:lineRule="auto"/>
        <w:jc w:val="center"/>
        <w:rPr>
          <w:rFonts w:ascii="Times New Roman" w:hAnsi="Times New Roman" w:eastAsia="楷体"/>
          <w:b/>
          <w:sz w:val="48"/>
          <w:szCs w:val="48"/>
          <w:highlight w:val="none"/>
        </w:rPr>
      </w:pPr>
    </w:p>
    <w:p>
      <w:pPr>
        <w:spacing w:line="720" w:lineRule="auto"/>
        <w:jc w:val="center"/>
        <w:rPr>
          <w:rFonts w:ascii="Times New Roman" w:hAnsi="Times New Roman" w:eastAsia="楷体"/>
          <w:b/>
          <w:sz w:val="48"/>
          <w:szCs w:val="48"/>
          <w:highlight w:val="none"/>
        </w:rPr>
      </w:pPr>
    </w:p>
    <w:p>
      <w:pPr>
        <w:adjustRightInd w:val="0"/>
        <w:snapToGrid w:val="0"/>
        <w:spacing w:line="360" w:lineRule="auto"/>
        <w:jc w:val="center"/>
        <w:rPr>
          <w:rFonts w:hint="eastAsia" w:ascii="楷体" w:hAnsi="楷体" w:eastAsia="楷体"/>
          <w:b/>
          <w:snapToGrid w:val="0"/>
          <w:kern w:val="0"/>
          <w:sz w:val="36"/>
          <w:szCs w:val="36"/>
          <w:highlight w:val="none"/>
        </w:rPr>
      </w:pPr>
      <w:r>
        <w:rPr>
          <w:rFonts w:hint="eastAsia" w:ascii="楷体" w:hAnsi="楷体" w:eastAsia="楷体"/>
          <w:b/>
          <w:snapToGrid w:val="0"/>
          <w:kern w:val="0"/>
          <w:sz w:val="36"/>
          <w:szCs w:val="36"/>
          <w:highlight w:val="none"/>
        </w:rPr>
        <w:t>北京市政</w:t>
      </w:r>
      <w:bookmarkStart w:id="64" w:name="_GoBack"/>
      <w:bookmarkEnd w:id="64"/>
      <w:r>
        <w:rPr>
          <w:rFonts w:hint="eastAsia" w:ascii="楷体" w:hAnsi="楷体" w:eastAsia="楷体"/>
          <w:b/>
          <w:snapToGrid w:val="0"/>
          <w:kern w:val="0"/>
          <w:sz w:val="36"/>
          <w:szCs w:val="36"/>
          <w:highlight w:val="none"/>
        </w:rPr>
        <w:t>务服务和数据管理局</w:t>
      </w:r>
    </w:p>
    <w:p>
      <w:pPr>
        <w:adjustRightInd w:val="0"/>
        <w:snapToGrid w:val="0"/>
        <w:spacing w:line="360" w:lineRule="auto"/>
        <w:jc w:val="center"/>
        <w:rPr>
          <w:rFonts w:hint="eastAsia" w:ascii="楷体" w:hAnsi="楷体" w:eastAsia="楷体"/>
          <w:b/>
          <w:snapToGrid w:val="0"/>
          <w:kern w:val="0"/>
          <w:sz w:val="36"/>
          <w:szCs w:val="36"/>
          <w:highlight w:val="none"/>
        </w:rPr>
      </w:pPr>
      <w:r>
        <w:rPr>
          <w:rFonts w:hint="eastAsia" w:ascii="楷体" w:hAnsi="楷体" w:eastAsia="楷体"/>
          <w:b/>
          <w:snapToGrid w:val="0"/>
          <w:kern w:val="0"/>
          <w:sz w:val="36"/>
          <w:szCs w:val="36"/>
          <w:highlight w:val="none"/>
        </w:rPr>
        <w:t>2</w:t>
      </w:r>
      <w:r>
        <w:rPr>
          <w:rFonts w:ascii="楷体" w:hAnsi="楷体" w:eastAsia="楷体"/>
          <w:b/>
          <w:snapToGrid w:val="0"/>
          <w:kern w:val="0"/>
          <w:sz w:val="36"/>
          <w:szCs w:val="36"/>
          <w:highlight w:val="none"/>
        </w:rPr>
        <w:t>02</w:t>
      </w:r>
      <w:r>
        <w:rPr>
          <w:rFonts w:hint="eastAsia" w:ascii="楷体" w:hAnsi="楷体" w:eastAsia="楷体"/>
          <w:b/>
          <w:snapToGrid w:val="0"/>
          <w:kern w:val="0"/>
          <w:sz w:val="36"/>
          <w:szCs w:val="36"/>
          <w:highlight w:val="none"/>
        </w:rPr>
        <w:t>4年度社会数据统采共用项目</w:t>
      </w:r>
    </w:p>
    <w:p>
      <w:pPr>
        <w:adjustRightInd w:val="0"/>
        <w:snapToGrid w:val="0"/>
        <w:spacing w:line="360" w:lineRule="auto"/>
        <w:jc w:val="center"/>
        <w:rPr>
          <w:rFonts w:hint="eastAsia" w:ascii="黑体" w:hAnsi="黑体" w:eastAsia="黑体"/>
          <w:b/>
          <w:sz w:val="72"/>
          <w:szCs w:val="72"/>
          <w:highlight w:val="none"/>
          <w:lang w:val="zh-CN"/>
        </w:rPr>
      </w:pPr>
      <w:r>
        <w:rPr>
          <w:rFonts w:hint="eastAsia" w:ascii="黑体" w:hAnsi="黑体" w:eastAsia="黑体"/>
          <w:b/>
          <w:sz w:val="72"/>
          <w:szCs w:val="72"/>
          <w:highlight w:val="none"/>
          <w:lang w:val="zh-CN"/>
        </w:rPr>
        <w:t>绩效评价报告</w:t>
      </w:r>
    </w:p>
    <w:p>
      <w:pPr>
        <w:adjustRightInd w:val="0"/>
        <w:snapToGrid w:val="0"/>
        <w:spacing w:line="360" w:lineRule="auto"/>
        <w:jc w:val="left"/>
        <w:rPr>
          <w:rFonts w:hint="eastAsia"/>
          <w:i/>
          <w:iCs/>
          <w:sz w:val="32"/>
          <w:szCs w:val="32"/>
          <w:highlight w:val="none"/>
          <w:lang w:val="zh-CN"/>
        </w:rPr>
      </w:pPr>
    </w:p>
    <w:p>
      <w:pPr>
        <w:adjustRightInd w:val="0"/>
        <w:snapToGrid w:val="0"/>
        <w:spacing w:line="360" w:lineRule="auto"/>
        <w:jc w:val="left"/>
        <w:rPr>
          <w:rFonts w:hint="eastAsia"/>
          <w:iCs/>
          <w:sz w:val="32"/>
          <w:szCs w:val="32"/>
          <w:highlight w:val="none"/>
          <w:lang w:val="zh-CN"/>
        </w:rPr>
      </w:pPr>
    </w:p>
    <w:p>
      <w:pPr>
        <w:adjustRightInd w:val="0"/>
        <w:snapToGrid w:val="0"/>
        <w:spacing w:line="360" w:lineRule="auto"/>
        <w:jc w:val="left"/>
        <w:rPr>
          <w:rFonts w:hint="eastAsia"/>
          <w:i/>
          <w:iCs/>
          <w:sz w:val="32"/>
          <w:szCs w:val="32"/>
          <w:highlight w:val="none"/>
          <w:lang w:val="zh-CN"/>
        </w:rPr>
      </w:pPr>
    </w:p>
    <w:p>
      <w:pPr>
        <w:adjustRightInd w:val="0"/>
        <w:snapToGrid w:val="0"/>
        <w:spacing w:line="360" w:lineRule="auto"/>
        <w:jc w:val="left"/>
        <w:rPr>
          <w:rFonts w:hint="eastAsia"/>
          <w:i/>
          <w:iCs/>
          <w:sz w:val="32"/>
          <w:szCs w:val="32"/>
          <w:highlight w:val="none"/>
          <w:lang w:val="zh-CN"/>
        </w:rPr>
      </w:pPr>
    </w:p>
    <w:p>
      <w:pPr>
        <w:adjustRightInd w:val="0"/>
        <w:snapToGrid w:val="0"/>
        <w:spacing w:line="360" w:lineRule="auto"/>
        <w:jc w:val="left"/>
        <w:rPr>
          <w:rFonts w:hint="eastAsia" w:eastAsia="黑体"/>
          <w:sz w:val="32"/>
          <w:szCs w:val="32"/>
          <w:highlight w:val="none"/>
          <w:lang w:val="zh-CN"/>
        </w:rPr>
      </w:pPr>
    </w:p>
    <w:p>
      <w:pPr>
        <w:adjustRightInd w:val="0"/>
        <w:snapToGrid w:val="0"/>
        <w:spacing w:line="360" w:lineRule="auto"/>
        <w:jc w:val="left"/>
        <w:rPr>
          <w:rFonts w:hint="eastAsia" w:eastAsia="黑体"/>
          <w:sz w:val="32"/>
          <w:szCs w:val="32"/>
          <w:highlight w:val="none"/>
          <w:lang w:val="zh-CN"/>
        </w:rPr>
      </w:pPr>
    </w:p>
    <w:p>
      <w:pPr>
        <w:adjustRightInd w:val="0"/>
        <w:snapToGrid w:val="0"/>
        <w:spacing w:line="360" w:lineRule="auto"/>
        <w:jc w:val="left"/>
        <w:rPr>
          <w:rFonts w:hint="eastAsia" w:eastAsia="黑体"/>
          <w:sz w:val="32"/>
          <w:szCs w:val="32"/>
          <w:highlight w:val="none"/>
          <w:lang w:val="zh-CN"/>
        </w:rPr>
      </w:pPr>
    </w:p>
    <w:p>
      <w:pPr>
        <w:adjustRightInd w:val="0"/>
        <w:snapToGrid w:val="0"/>
        <w:spacing w:line="360" w:lineRule="auto"/>
        <w:jc w:val="left"/>
        <w:rPr>
          <w:rFonts w:hint="eastAsia" w:eastAsia="黑体"/>
          <w:sz w:val="32"/>
          <w:szCs w:val="32"/>
          <w:highlight w:val="none"/>
          <w:lang w:val="zh-CN"/>
        </w:rPr>
      </w:pPr>
    </w:p>
    <w:p>
      <w:pPr>
        <w:adjustRightInd w:val="0"/>
        <w:snapToGrid w:val="0"/>
        <w:spacing w:line="360" w:lineRule="auto"/>
        <w:jc w:val="center"/>
        <w:rPr>
          <w:rFonts w:hint="eastAsia" w:eastAsia="楷体"/>
          <w:b/>
          <w:sz w:val="44"/>
          <w:szCs w:val="44"/>
          <w:highlight w:val="none"/>
          <w:lang w:val="zh-CN"/>
        </w:rPr>
      </w:pPr>
    </w:p>
    <w:p>
      <w:pPr>
        <w:adjustRightInd w:val="0"/>
        <w:snapToGrid w:val="0"/>
        <w:spacing w:line="360" w:lineRule="auto"/>
        <w:jc w:val="center"/>
        <w:rPr>
          <w:rFonts w:hint="eastAsia"/>
          <w:b/>
          <w:i/>
          <w:sz w:val="32"/>
          <w:szCs w:val="32"/>
          <w:highlight w:val="none"/>
          <w:lang w:val="zh-CN"/>
        </w:rPr>
      </w:pPr>
    </w:p>
    <w:p>
      <w:pPr>
        <w:adjustRightInd w:val="0"/>
        <w:snapToGrid w:val="0"/>
        <w:spacing w:line="360" w:lineRule="auto"/>
        <w:jc w:val="center"/>
        <w:rPr>
          <w:rFonts w:hint="eastAsia" w:ascii="仿宋_GB2312"/>
          <w:b/>
          <w:sz w:val="32"/>
          <w:szCs w:val="32"/>
          <w:highlight w:val="none"/>
          <w:lang w:val="zh-CN"/>
        </w:rPr>
      </w:pPr>
    </w:p>
    <w:p>
      <w:pPr>
        <w:rPr>
          <w:rFonts w:ascii="Times New Roman" w:hAnsi="Times New Roman"/>
          <w:sz w:val="32"/>
          <w:szCs w:val="32"/>
          <w:highlight w:val="none"/>
        </w:rPr>
      </w:pPr>
    </w:p>
    <w:p>
      <w:pPr>
        <w:rPr>
          <w:rFonts w:ascii="Times New Roman" w:hAnsi="Times New Roman"/>
          <w:sz w:val="32"/>
          <w:szCs w:val="32"/>
          <w:highlight w:val="none"/>
        </w:rPr>
      </w:pPr>
    </w:p>
    <w:p>
      <w:pPr>
        <w:rPr>
          <w:rFonts w:ascii="Times New Roman" w:hAnsi="Times New Roman"/>
          <w:highlight w:val="none"/>
        </w:rPr>
        <w:sectPr>
          <w:footerReference r:id="rId3" w:type="default"/>
          <w:pgSz w:w="11906" w:h="16838"/>
          <w:pgMar w:top="1440" w:right="1800" w:bottom="1440" w:left="1800" w:header="851" w:footer="737" w:gutter="0"/>
          <w:cols w:space="720" w:num="1"/>
          <w:docGrid w:type="lines" w:linePitch="312" w:charSpace="0"/>
        </w:sectPr>
      </w:pPr>
    </w:p>
    <w:p>
      <w:pPr>
        <w:rPr>
          <w:rFonts w:ascii="Times New Roman" w:hAnsi="Times New Roman"/>
          <w:highlight w:val="none"/>
        </w:rPr>
        <w:sectPr>
          <w:footerReference r:id="rId4" w:type="default"/>
          <w:type w:val="continuous"/>
          <w:pgSz w:w="11906" w:h="16838"/>
          <w:pgMar w:top="1440" w:right="1800" w:bottom="1440" w:left="1800" w:header="851" w:footer="737" w:gutter="0"/>
          <w:cols w:space="720" w:num="1"/>
          <w:docGrid w:type="lines" w:linePitch="312" w:charSpace="0"/>
        </w:sectPr>
      </w:pPr>
    </w:p>
    <w:p>
      <w:pPr>
        <w:adjustRightInd w:val="0"/>
        <w:snapToGrid w:val="0"/>
        <w:spacing w:line="360" w:lineRule="auto"/>
        <w:jc w:val="center"/>
        <w:rPr>
          <w:rFonts w:hint="eastAsia" w:ascii="黑体" w:hAnsi="华文中宋" w:eastAsia="黑体"/>
          <w:bCs/>
          <w:sz w:val="32"/>
          <w:szCs w:val="32"/>
          <w:highlight w:val="none"/>
        </w:rPr>
      </w:pPr>
      <w:r>
        <w:rPr>
          <w:rFonts w:hint="eastAsia" w:ascii="黑体" w:hAnsi="华文中宋" w:eastAsia="黑体"/>
          <w:bCs/>
          <w:sz w:val="32"/>
          <w:szCs w:val="32"/>
          <w:highlight w:val="none"/>
        </w:rPr>
        <w:t>目录</w:t>
      </w:r>
    </w:p>
    <w:p>
      <w:pPr>
        <w:adjustRightInd w:val="0"/>
        <w:snapToGrid w:val="0"/>
        <w:spacing w:line="560" w:lineRule="exact"/>
        <w:jc w:val="center"/>
        <w:rPr>
          <w:rFonts w:hint="eastAsia" w:ascii="仿宋_GB2312" w:hAnsi="华文中宋" w:eastAsia="仿宋_GB2312"/>
          <w:bCs/>
          <w:sz w:val="20"/>
          <w:szCs w:val="20"/>
          <w:highlight w:val="none"/>
        </w:rPr>
      </w:pPr>
    </w:p>
    <w:p>
      <w:pPr>
        <w:pStyle w:val="9"/>
        <w:tabs>
          <w:tab w:val="right" w:leader="dot" w:pos="8306"/>
        </w:tabs>
        <w:rPr>
          <w:rFonts w:hint="eastAsia" w:ascii="仿宋_GB2312" w:hAnsi="仿宋_GB2312" w:eastAsia="仿宋_GB2312" w:cs="仿宋_GB2312"/>
          <w:sz w:val="32"/>
          <w:szCs w:val="32"/>
          <w:highlight w:val="none"/>
        </w:rPr>
      </w:pPr>
      <w:r>
        <w:rPr>
          <w:rFonts w:hint="eastAsia" w:ascii="仿宋_GB2312" w:hAnsi="仿宋_GB2312" w:eastAsia="仿宋_GB2312" w:cs="仿宋_GB2312"/>
          <w:caps/>
          <w:sz w:val="32"/>
          <w:szCs w:val="32"/>
          <w:highlight w:val="none"/>
        </w:rPr>
        <w:fldChar w:fldCharType="begin"/>
      </w:r>
      <w:r>
        <w:rPr>
          <w:rFonts w:hint="eastAsia" w:ascii="仿宋_GB2312" w:hAnsi="仿宋_GB2312" w:eastAsia="仿宋_GB2312" w:cs="仿宋_GB2312"/>
          <w:caps/>
          <w:sz w:val="32"/>
          <w:szCs w:val="32"/>
          <w:highlight w:val="none"/>
        </w:rPr>
        <w:instrText xml:space="preserve"> TOC \o "1-2" \h \z \u </w:instrText>
      </w:r>
      <w:r>
        <w:rPr>
          <w:rFonts w:hint="eastAsia" w:ascii="仿宋_GB2312" w:hAnsi="仿宋_GB2312" w:eastAsia="仿宋_GB2312" w:cs="仿宋_GB2312"/>
          <w:caps/>
          <w:sz w:val="32"/>
          <w:szCs w:val="32"/>
          <w:highlight w:val="none"/>
        </w:rPr>
        <w:fldChar w:fldCharType="separate"/>
      </w:r>
      <w:r>
        <w:rPr>
          <w:highlight w:val="none"/>
        </w:rPr>
        <w:fldChar w:fldCharType="begin"/>
      </w:r>
      <w:r>
        <w:rPr>
          <w:highlight w:val="none"/>
        </w:rPr>
        <w:instrText xml:space="preserve"> HYPERLINK \l "_Toc26733" </w:instrText>
      </w:r>
      <w:r>
        <w:rPr>
          <w:highlight w:val="none"/>
        </w:rPr>
        <w:fldChar w:fldCharType="separate"/>
      </w:r>
      <w:r>
        <w:rPr>
          <w:rFonts w:hint="eastAsia" w:ascii="仿宋_GB2312" w:hAnsi="仿宋_GB2312" w:eastAsia="仿宋_GB2312" w:cs="仿宋_GB2312"/>
          <w:bCs/>
          <w:caps/>
          <w:sz w:val="32"/>
          <w:szCs w:val="32"/>
          <w:highlight w:val="none"/>
        </w:rPr>
        <w:t>一、基本情况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_Toc26733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"_Toc28191" </w:instrText>
      </w:r>
      <w:r>
        <w:rPr>
          <w:highlight w:val="none"/>
        </w:rPr>
        <w:fldChar w:fldCharType="separate"/>
      </w:r>
      <w:r>
        <w:rPr>
          <w:rFonts w:hint="eastAsia" w:ascii="仿宋_GB2312" w:hAnsi="仿宋_GB2312" w:eastAsia="仿宋_GB2312" w:cs="仿宋_GB2312"/>
          <w:bCs/>
          <w:caps/>
          <w:sz w:val="32"/>
          <w:szCs w:val="32"/>
          <w:highlight w:val="none"/>
        </w:rPr>
        <w:t>（一）项目概况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_Toc28191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"_Toc21544" </w:instrText>
      </w:r>
      <w:r>
        <w:rPr>
          <w:highlight w:val="none"/>
        </w:rPr>
        <w:fldChar w:fldCharType="separate"/>
      </w:r>
      <w:r>
        <w:rPr>
          <w:rFonts w:hint="eastAsia" w:ascii="仿宋_GB2312" w:hAnsi="仿宋_GB2312" w:eastAsia="仿宋_GB2312" w:cs="仿宋_GB2312"/>
          <w:bCs/>
          <w:caps/>
          <w:sz w:val="32"/>
          <w:szCs w:val="32"/>
          <w:highlight w:val="none"/>
        </w:rPr>
        <w:t>（二）项目绩效目标</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_Toc21544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9"/>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"_Toc4130" </w:instrText>
      </w:r>
      <w:r>
        <w:rPr>
          <w:highlight w:val="none"/>
        </w:rPr>
        <w:fldChar w:fldCharType="separate"/>
      </w:r>
      <w:r>
        <w:rPr>
          <w:rFonts w:hint="eastAsia" w:ascii="仿宋_GB2312" w:hAnsi="仿宋_GB2312" w:eastAsia="仿宋_GB2312" w:cs="仿宋_GB2312"/>
          <w:bCs/>
          <w:caps/>
          <w:sz w:val="32"/>
          <w:szCs w:val="32"/>
          <w:highlight w:val="none"/>
        </w:rPr>
        <w:t>二、绩效评价工作开展情况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_Toc4130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"_Toc22436" </w:instrText>
      </w:r>
      <w:r>
        <w:rPr>
          <w:highlight w:val="none"/>
        </w:rPr>
        <w:fldChar w:fldCharType="separate"/>
      </w:r>
      <w:r>
        <w:rPr>
          <w:rFonts w:hint="eastAsia" w:ascii="仿宋_GB2312" w:hAnsi="仿宋_GB2312" w:eastAsia="仿宋_GB2312" w:cs="仿宋_GB2312"/>
          <w:bCs/>
          <w:caps/>
          <w:sz w:val="32"/>
          <w:szCs w:val="32"/>
          <w:highlight w:val="none"/>
        </w:rPr>
        <w:t>（一）绩效评价目的、对象</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_Toc22436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"_Toc32193" </w:instrText>
      </w:r>
      <w:r>
        <w:rPr>
          <w:highlight w:val="none"/>
        </w:rPr>
        <w:fldChar w:fldCharType="separate"/>
      </w:r>
      <w:r>
        <w:rPr>
          <w:rFonts w:hint="eastAsia" w:ascii="仿宋_GB2312" w:hAnsi="仿宋_GB2312" w:eastAsia="仿宋_GB2312" w:cs="仿宋_GB2312"/>
          <w:sz w:val="32"/>
          <w:szCs w:val="32"/>
          <w:highlight w:val="none"/>
        </w:rPr>
        <w:t>（二）绩效评价原则、评价方法、评价指标体系</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_Toc32193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"_Toc2223" </w:instrText>
      </w:r>
      <w:r>
        <w:rPr>
          <w:highlight w:val="none"/>
        </w:rPr>
        <w:fldChar w:fldCharType="separate"/>
      </w:r>
      <w:r>
        <w:rPr>
          <w:rFonts w:hint="eastAsia" w:ascii="仿宋_GB2312" w:hAnsi="仿宋_GB2312" w:eastAsia="仿宋_GB2312" w:cs="仿宋_GB2312"/>
          <w:caps/>
          <w:sz w:val="32"/>
          <w:szCs w:val="32"/>
          <w:highlight w:val="none"/>
        </w:rPr>
        <w:t>（三）绩效评价过程</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_Toc2223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9"/>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"_Toc22144" </w:instrText>
      </w:r>
      <w:r>
        <w:rPr>
          <w:highlight w:val="none"/>
        </w:rPr>
        <w:fldChar w:fldCharType="separate"/>
      </w:r>
      <w:r>
        <w:rPr>
          <w:rFonts w:hint="eastAsia" w:ascii="仿宋_GB2312" w:hAnsi="仿宋_GB2312" w:eastAsia="仿宋_GB2312" w:cs="仿宋_GB2312"/>
          <w:bCs/>
          <w:caps/>
          <w:sz w:val="32"/>
          <w:szCs w:val="32"/>
          <w:highlight w:val="none"/>
        </w:rPr>
        <w:t>三、综合评价结论</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_Toc22144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7</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9"/>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"_Toc11756" </w:instrText>
      </w:r>
      <w:r>
        <w:rPr>
          <w:highlight w:val="none"/>
        </w:rPr>
        <w:fldChar w:fldCharType="separate"/>
      </w:r>
      <w:r>
        <w:rPr>
          <w:rFonts w:hint="eastAsia" w:ascii="仿宋_GB2312" w:hAnsi="仿宋_GB2312" w:eastAsia="仿宋_GB2312" w:cs="仿宋_GB2312"/>
          <w:sz w:val="32"/>
          <w:szCs w:val="32"/>
          <w:highlight w:val="none"/>
        </w:rPr>
        <w:t>四、绩效评价指标分析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_Toc11756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"_Toc32512" </w:instrText>
      </w:r>
      <w:r>
        <w:rPr>
          <w:highlight w:val="none"/>
        </w:rPr>
        <w:fldChar w:fldCharType="separate"/>
      </w:r>
      <w:r>
        <w:rPr>
          <w:rFonts w:hint="eastAsia" w:ascii="仿宋_GB2312" w:hAnsi="仿宋_GB2312" w:eastAsia="仿宋_GB2312" w:cs="仿宋_GB2312"/>
          <w:sz w:val="32"/>
          <w:szCs w:val="32"/>
          <w:highlight w:val="none"/>
        </w:rPr>
        <w:t>（一）项目决策情况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_Toc32512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"_Toc30702" </w:instrText>
      </w:r>
      <w:r>
        <w:rPr>
          <w:highlight w:val="none"/>
        </w:rPr>
        <w:fldChar w:fldCharType="separate"/>
      </w:r>
      <w:r>
        <w:rPr>
          <w:rFonts w:hint="eastAsia" w:ascii="仿宋_GB2312" w:hAnsi="仿宋_GB2312" w:eastAsia="仿宋_GB2312" w:cs="仿宋_GB2312"/>
          <w:kern w:val="0"/>
          <w:sz w:val="32"/>
          <w:szCs w:val="32"/>
          <w:highlight w:val="none"/>
        </w:rPr>
        <w:t>（二）项目过程情况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_Toc30702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"_Toc12817" </w:instrText>
      </w:r>
      <w:r>
        <w:rPr>
          <w:highlight w:val="none"/>
        </w:rPr>
        <w:fldChar w:fldCharType="separate"/>
      </w:r>
      <w:r>
        <w:rPr>
          <w:rFonts w:hint="eastAsia" w:ascii="仿宋_GB2312" w:hAnsi="仿宋_GB2312" w:eastAsia="仿宋_GB2312" w:cs="仿宋_GB2312"/>
          <w:kern w:val="0"/>
          <w:sz w:val="32"/>
          <w:szCs w:val="32"/>
          <w:highlight w:val="none"/>
        </w:rPr>
        <w:t>（三）项目产出情况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_Toc12817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16</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"_Toc6289" </w:instrText>
      </w:r>
      <w:r>
        <w:rPr>
          <w:highlight w:val="none"/>
        </w:rPr>
        <w:fldChar w:fldCharType="separate"/>
      </w:r>
      <w:r>
        <w:rPr>
          <w:rFonts w:hint="eastAsia" w:ascii="仿宋_GB2312" w:hAnsi="仿宋_GB2312" w:eastAsia="仿宋_GB2312" w:cs="仿宋_GB2312"/>
          <w:kern w:val="0"/>
          <w:sz w:val="32"/>
          <w:szCs w:val="32"/>
          <w:highlight w:val="none"/>
        </w:rPr>
        <w:t>（四）项目效益情况</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_Toc6289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19</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9"/>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"_Toc23367" </w:instrText>
      </w:r>
      <w:r>
        <w:rPr>
          <w:highlight w:val="none"/>
        </w:rPr>
        <w:fldChar w:fldCharType="separate"/>
      </w:r>
      <w:r>
        <w:rPr>
          <w:rFonts w:hint="eastAsia" w:ascii="仿宋_GB2312" w:hAnsi="仿宋_GB2312" w:eastAsia="仿宋_GB2312" w:cs="仿宋_GB2312"/>
          <w:bCs/>
          <w:caps/>
          <w:sz w:val="32"/>
          <w:szCs w:val="32"/>
          <w:highlight w:val="none"/>
        </w:rPr>
        <w:t>五、主要经验及做法、存在的问题及原因分析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_Toc23367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"_Toc20913" </w:instrText>
      </w:r>
      <w:r>
        <w:rPr>
          <w:highlight w:val="none"/>
        </w:rPr>
        <w:fldChar w:fldCharType="separate"/>
      </w:r>
      <w:r>
        <w:rPr>
          <w:rFonts w:hint="eastAsia" w:ascii="仿宋_GB2312" w:hAnsi="仿宋_GB2312" w:eastAsia="仿宋_GB2312" w:cs="仿宋_GB2312"/>
          <w:bCs/>
          <w:caps/>
          <w:sz w:val="32"/>
          <w:szCs w:val="32"/>
          <w:highlight w:val="none"/>
        </w:rPr>
        <w:t>（一）主要经验及做法</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_Toc20913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"_Toc3902" </w:instrText>
      </w:r>
      <w:r>
        <w:rPr>
          <w:highlight w:val="none"/>
        </w:rPr>
        <w:fldChar w:fldCharType="separate"/>
      </w:r>
      <w:r>
        <w:rPr>
          <w:rFonts w:hint="eastAsia" w:ascii="仿宋_GB2312" w:hAnsi="仿宋_GB2312" w:eastAsia="仿宋_GB2312" w:cs="仿宋_GB2312"/>
          <w:bCs/>
          <w:caps/>
          <w:sz w:val="32"/>
          <w:szCs w:val="32"/>
          <w:highlight w:val="none"/>
        </w:rPr>
        <w:t>（二）存在的问题及原因分析</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_Toc3902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21</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9"/>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"_Toc7911" </w:instrText>
      </w:r>
      <w:r>
        <w:rPr>
          <w:highlight w:val="none"/>
        </w:rPr>
        <w:fldChar w:fldCharType="separate"/>
      </w:r>
      <w:r>
        <w:rPr>
          <w:rFonts w:hint="eastAsia" w:ascii="仿宋_GB2312" w:hAnsi="仿宋_GB2312" w:eastAsia="仿宋_GB2312" w:cs="仿宋_GB2312"/>
          <w:bCs/>
          <w:caps/>
          <w:sz w:val="32"/>
          <w:szCs w:val="32"/>
          <w:highlight w:val="none"/>
        </w:rPr>
        <w:t>六、相关建议</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_Toc7911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"_Toc22256" </w:instrText>
      </w:r>
      <w:r>
        <w:rPr>
          <w:highlight w:val="none"/>
        </w:rPr>
        <w:fldChar w:fldCharType="separate"/>
      </w:r>
      <w:r>
        <w:rPr>
          <w:rFonts w:hint="eastAsia" w:ascii="仿宋_GB2312" w:hAnsi="仿宋_GB2312" w:eastAsia="仿宋_GB2312" w:cs="仿宋_GB2312"/>
          <w:sz w:val="32"/>
          <w:szCs w:val="32"/>
          <w:highlight w:val="none"/>
        </w:rPr>
        <w:t>（一）坚持需求导向，提升预算编制科学性与精准性</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_Toc22256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"_Toc31229" </w:instrText>
      </w:r>
      <w:r>
        <w:rPr>
          <w:highlight w:val="none"/>
        </w:rPr>
        <w:fldChar w:fldCharType="separate"/>
      </w:r>
      <w:r>
        <w:rPr>
          <w:rFonts w:hint="eastAsia" w:ascii="仿宋_GB2312" w:hAnsi="仿宋_GB2312" w:eastAsia="仿宋_GB2312" w:cs="仿宋_GB2312"/>
          <w:sz w:val="32"/>
          <w:szCs w:val="32"/>
          <w:highlight w:val="none"/>
        </w:rPr>
        <w:t>（二）完善制度体系与独立第三方管控机制，优化延续性项目合同周期管理机制，提升社会数据统采共用的规范化与协同性</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_Toc31229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23</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highlight w:val="none"/>
        </w:rPr>
      </w:pPr>
      <w:r>
        <w:rPr>
          <w:highlight w:val="none"/>
        </w:rPr>
        <w:fldChar w:fldCharType="begin"/>
      </w:r>
      <w:r>
        <w:rPr>
          <w:highlight w:val="none"/>
        </w:rPr>
        <w:instrText xml:space="preserve"> HYPERLINK \l "_Toc28361" </w:instrText>
      </w:r>
      <w:r>
        <w:rPr>
          <w:highlight w:val="none"/>
        </w:rPr>
        <w:fldChar w:fldCharType="separate"/>
      </w:r>
      <w:r>
        <w:rPr>
          <w:rFonts w:hint="eastAsia" w:ascii="仿宋_GB2312" w:hAnsi="仿宋_GB2312" w:eastAsia="仿宋_GB2312" w:cs="仿宋_GB2312"/>
          <w:caps/>
          <w:sz w:val="32"/>
          <w:szCs w:val="32"/>
          <w:highlight w:val="none"/>
        </w:rPr>
        <w:t>（三）加强效益数据持续追踪及挖掘分析，强化满意度管理及绩效考核材料的呈现</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PAGEREF _Toc28361 \h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24</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p>
    <w:p>
      <w:pPr>
        <w:adjustRightInd w:val="0"/>
        <w:snapToGrid w:val="0"/>
        <w:spacing w:line="560" w:lineRule="exact"/>
        <w:rPr>
          <w:rFonts w:hint="eastAsia" w:ascii="仿宋_GB2312" w:hAnsi="仿宋_GB2312" w:eastAsia="仿宋_GB2312" w:cs="仿宋_GB2312"/>
          <w:b/>
          <w:caps/>
          <w:w w:val="90"/>
          <w:sz w:val="32"/>
          <w:szCs w:val="32"/>
          <w:highlight w:val="none"/>
        </w:rPr>
        <w:sectPr>
          <w:footerReference r:id="rId5" w:type="default"/>
          <w:pgSz w:w="11906" w:h="16838"/>
          <w:pgMar w:top="1440" w:right="1800" w:bottom="1440" w:left="1800" w:header="851" w:footer="992" w:gutter="0"/>
          <w:pgNumType w:fmt="upperRoman" w:start="1"/>
          <w:cols w:space="425" w:num="1"/>
          <w:docGrid w:type="lines" w:linePitch="312" w:charSpace="0"/>
        </w:sectPr>
      </w:pPr>
      <w:r>
        <w:rPr>
          <w:rFonts w:hint="eastAsia" w:ascii="仿宋_GB2312" w:hAnsi="仿宋_GB2312" w:eastAsia="仿宋_GB2312" w:cs="仿宋_GB2312"/>
          <w:caps/>
          <w:sz w:val="32"/>
          <w:szCs w:val="32"/>
          <w:highlight w:val="none"/>
        </w:rPr>
        <w:fldChar w:fldCharType="end"/>
      </w:r>
    </w:p>
    <w:p>
      <w:pPr>
        <w:adjustRightInd w:val="0"/>
        <w:snapToGrid w:val="0"/>
        <w:spacing w:line="560" w:lineRule="exact"/>
        <w:ind w:firstLine="640" w:firstLineChars="200"/>
        <w:jc w:val="center"/>
        <w:rPr>
          <w:rFonts w:hint="eastAsia" w:ascii="仿宋_GB2312" w:hAnsi="仿宋_GB2312" w:eastAsia="仿宋_GB2312" w:cs="仿宋_GB2312"/>
          <w:bCs/>
          <w:sz w:val="32"/>
          <w:szCs w:val="32"/>
          <w:highlight w:val="none"/>
        </w:rPr>
        <w:sectPr>
          <w:footerReference r:id="rId6" w:type="default"/>
          <w:footnotePr>
            <w:numFmt w:val="decimalEnclosedCircleChinese"/>
          </w:footnotePr>
          <w:type w:val="continuous"/>
          <w:pgSz w:w="11906" w:h="16838"/>
          <w:pgMar w:top="1440" w:right="1800" w:bottom="1440" w:left="1800" w:header="851" w:footer="992" w:gutter="0"/>
          <w:pgNumType w:start="1"/>
          <w:cols w:space="425" w:num="1"/>
          <w:docGrid w:type="lines" w:linePitch="312" w:charSpace="0"/>
        </w:sectPr>
      </w:pPr>
    </w:p>
    <w:p>
      <w:pPr>
        <w:adjustRightInd w:val="0"/>
        <w:snapToGrid w:val="0"/>
        <w:spacing w:line="560" w:lineRule="exact"/>
        <w:jc w:val="center"/>
        <w:rPr>
          <w:rFonts w:hint="eastAsia" w:ascii="华文中宋" w:hAnsi="华文中宋" w:eastAsia="华文中宋"/>
          <w:bCs/>
          <w:sz w:val="36"/>
          <w:szCs w:val="44"/>
          <w:highlight w:val="none"/>
        </w:rPr>
        <w:sectPr>
          <w:footerReference r:id="rId7" w:type="default"/>
          <w:footnotePr>
            <w:numFmt w:val="decimalEnclosedCircleChinese"/>
          </w:footnotePr>
          <w:type w:val="continuous"/>
          <w:pgSz w:w="11906" w:h="16838"/>
          <w:pgMar w:top="1440" w:right="1800" w:bottom="1440" w:left="1800" w:header="851" w:footer="992" w:gutter="0"/>
          <w:pgNumType w:start="4"/>
          <w:cols w:space="425" w:num="1"/>
          <w:docGrid w:type="lines" w:linePitch="312" w:charSpace="0"/>
        </w:sectPr>
      </w:pPr>
    </w:p>
    <w:p>
      <w:pPr>
        <w:adjustRightInd w:val="0"/>
        <w:snapToGrid w:val="0"/>
        <w:spacing w:line="560" w:lineRule="exact"/>
        <w:jc w:val="center"/>
        <w:rPr>
          <w:rFonts w:hint="eastAsia" w:ascii="华文中宋" w:hAnsi="华文中宋" w:eastAsia="华文中宋"/>
          <w:bCs/>
          <w:sz w:val="36"/>
          <w:szCs w:val="44"/>
          <w:highlight w:val="none"/>
        </w:rPr>
      </w:pPr>
      <w:r>
        <w:rPr>
          <w:rFonts w:ascii="华文中宋" w:hAnsi="华文中宋" w:eastAsia="华文中宋"/>
          <w:bCs/>
          <w:sz w:val="36"/>
          <w:szCs w:val="44"/>
          <w:highlight w:val="none"/>
        </w:rPr>
        <w:t>202</w:t>
      </w:r>
      <w:r>
        <w:rPr>
          <w:rFonts w:hint="eastAsia" w:ascii="华文中宋" w:hAnsi="华文中宋" w:eastAsia="华文中宋"/>
          <w:bCs/>
          <w:sz w:val="36"/>
          <w:szCs w:val="44"/>
          <w:highlight w:val="none"/>
        </w:rPr>
        <w:t>4年度社会数据统采共用项目</w:t>
      </w:r>
    </w:p>
    <w:p>
      <w:pPr>
        <w:adjustRightInd w:val="0"/>
        <w:snapToGrid w:val="0"/>
        <w:spacing w:line="560" w:lineRule="exact"/>
        <w:jc w:val="center"/>
        <w:rPr>
          <w:rFonts w:hint="eastAsia" w:ascii="华文中宋" w:hAnsi="华文中宋" w:eastAsia="华文中宋"/>
          <w:szCs w:val="32"/>
          <w:highlight w:val="none"/>
        </w:rPr>
      </w:pPr>
      <w:r>
        <w:rPr>
          <w:rFonts w:hint="eastAsia" w:ascii="华文中宋" w:hAnsi="华文中宋" w:eastAsia="华文中宋"/>
          <w:bCs/>
          <w:sz w:val="36"/>
          <w:szCs w:val="44"/>
          <w:highlight w:val="none"/>
        </w:rPr>
        <w:t>绩效评价报告</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p>
    <w:p>
      <w:pPr>
        <w:adjustRightInd w:val="0"/>
        <w:snapToGrid w:val="0"/>
        <w:spacing w:line="560" w:lineRule="exact"/>
        <w:ind w:firstLine="640" w:firstLineChars="200"/>
        <w:rPr>
          <w:rFonts w:hint="eastAsia" w:ascii="仿宋_GB2312" w:hAnsi="仿宋_GB2312" w:eastAsia="仿宋_GB2312" w:cs="仿宋_GB2312"/>
          <w:snapToGrid w:val="0"/>
          <w:kern w:val="0"/>
          <w:sz w:val="32"/>
          <w:szCs w:val="32"/>
          <w:highlight w:val="none"/>
          <w:lang w:eastAsia="zh-Hans"/>
        </w:rPr>
      </w:pPr>
      <w:r>
        <w:rPr>
          <w:rFonts w:hint="eastAsia" w:ascii="仿宋_GB2312" w:hAnsi="仿宋_GB2312" w:eastAsia="仿宋_GB2312" w:cs="仿宋_GB2312"/>
          <w:snapToGrid w:val="0"/>
          <w:kern w:val="0"/>
          <w:sz w:val="32"/>
          <w:szCs w:val="32"/>
          <w:highlight w:val="none"/>
        </w:rPr>
        <w:t>根据《中华人民共和国预算法》规定，按照中共中央、国务院《关于全面实施预算绩效管理的意见》（中发〔2018〕34号）、《北京市项目支出绩效评价管理办法》（京财绩效〔2020〕2</w:t>
      </w:r>
      <w:r>
        <w:rPr>
          <w:rFonts w:ascii="仿宋_GB2312" w:hAnsi="仿宋_GB2312" w:eastAsia="仿宋_GB2312" w:cs="仿宋_GB2312"/>
          <w:snapToGrid w:val="0"/>
          <w:kern w:val="0"/>
          <w:sz w:val="32"/>
          <w:szCs w:val="32"/>
          <w:highlight w:val="none"/>
        </w:rPr>
        <w:t>146</w:t>
      </w:r>
      <w:r>
        <w:rPr>
          <w:rFonts w:hint="eastAsia" w:ascii="仿宋_GB2312" w:hAnsi="仿宋_GB2312" w:eastAsia="仿宋_GB2312" w:cs="仿宋_GB2312"/>
          <w:snapToGrid w:val="0"/>
          <w:kern w:val="0"/>
          <w:sz w:val="32"/>
          <w:szCs w:val="32"/>
          <w:highlight w:val="none"/>
        </w:rPr>
        <w:t>号）及北京市财政局（以下简称“市财政局”）《关于2025年预算绩效管理工作的通知</w:t>
      </w:r>
      <w:r>
        <w:rPr>
          <w:rFonts w:ascii="仿宋_GB2312" w:hAnsi="仿宋_GB2312" w:eastAsia="仿宋_GB2312" w:cs="仿宋_GB2312"/>
          <w:snapToGrid w:val="0"/>
          <w:kern w:val="0"/>
          <w:sz w:val="32"/>
          <w:szCs w:val="32"/>
          <w:highlight w:val="none"/>
        </w:rPr>
        <w:t>》</w:t>
      </w:r>
      <w:r>
        <w:rPr>
          <w:rFonts w:hint="eastAsia" w:ascii="仿宋_GB2312" w:hAnsi="仿宋_GB2312" w:eastAsia="仿宋_GB2312" w:cs="仿宋_GB2312"/>
          <w:snapToGrid w:val="0"/>
          <w:kern w:val="0"/>
          <w:sz w:val="32"/>
          <w:szCs w:val="32"/>
          <w:highlight w:val="none"/>
        </w:rPr>
        <w:t>（京财绩效〔2025〕245号）等文件要求，北京市政务服务和数据管理局（以下简称“市政务和数据局”）委托第三方中介机构（以下简称“评价机构”）对市政务和数据局下属预算单位北京市大数据中心（以下简称“市大数据中心”）2024年度社会数据统采共用项目开展了绩效评价，现将有关情况报告如下。</w:t>
      </w:r>
    </w:p>
    <w:p>
      <w:pPr>
        <w:adjustRightInd w:val="0"/>
        <w:snapToGrid w:val="0"/>
        <w:spacing w:line="560" w:lineRule="exact"/>
        <w:ind w:firstLine="640" w:firstLineChars="200"/>
        <w:outlineLvl w:val="0"/>
        <w:rPr>
          <w:rFonts w:ascii="Times New Roman" w:hAnsi="Times New Roman" w:eastAsia="黑体"/>
          <w:bCs/>
          <w:caps/>
          <w:sz w:val="32"/>
          <w:szCs w:val="32"/>
          <w:highlight w:val="none"/>
        </w:rPr>
      </w:pPr>
      <w:bookmarkStart w:id="0" w:name="_Toc26733"/>
      <w:r>
        <w:rPr>
          <w:rFonts w:ascii="Times New Roman" w:hAnsi="Times New Roman" w:eastAsia="黑体"/>
          <w:bCs/>
          <w:caps/>
          <w:sz w:val="32"/>
          <w:szCs w:val="32"/>
          <w:highlight w:val="none"/>
        </w:rPr>
        <w:t>一、基本情况</w:t>
      </w:r>
      <w:bookmarkEnd w:id="0"/>
    </w:p>
    <w:p>
      <w:pPr>
        <w:adjustRightInd w:val="0"/>
        <w:snapToGrid w:val="0"/>
        <w:spacing w:line="560" w:lineRule="exact"/>
        <w:ind w:firstLine="640" w:firstLineChars="200"/>
        <w:outlineLvl w:val="1"/>
        <w:rPr>
          <w:rFonts w:ascii="Times New Roman" w:hAnsi="Times New Roman" w:eastAsia="楷体"/>
          <w:bCs/>
          <w:caps/>
          <w:sz w:val="32"/>
          <w:szCs w:val="32"/>
          <w:highlight w:val="none"/>
        </w:rPr>
      </w:pPr>
      <w:bookmarkStart w:id="1" w:name="_Toc28191"/>
      <w:r>
        <w:rPr>
          <w:rFonts w:ascii="Times New Roman" w:hAnsi="Times New Roman" w:eastAsia="楷体"/>
          <w:bCs/>
          <w:caps/>
          <w:sz w:val="32"/>
          <w:szCs w:val="32"/>
          <w:highlight w:val="none"/>
        </w:rPr>
        <w:t>（一）项目概况</w:t>
      </w:r>
      <w:bookmarkEnd w:id="1"/>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eastAsia="仿宋_GB2312"/>
          <w:sz w:val="32"/>
          <w:szCs w:val="32"/>
          <w:highlight w:val="none"/>
        </w:rPr>
        <w:t>1.立项背景</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社会数据蕴含着显著的商业价值，其部分应用场景已形成较为成熟模式，对政府决策和工作开展具有重要的参考价值。为有效满足各政府部门对社会数据的使用需求，同时强化统筹管理、避免因分散采购导致的财政资金重复投入问题，有必要建立“统采共用”机制，实现共性需求社会数据的统一采集、处理分析与共享，旨在通过“统采共用”，既能充分发挥政务数据与社会数据融合应用的协同效应，又能推动两类数据资源的深度整合与创新应用，从而为社会数据驱动的政务服务创新提供有力支撑。</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基于上述管理及现实需求，同时，贯彻落实《北京大数据行动计划工作方案》（京政办发〔2018〕31号）、《北京市社会数据采购和使用管理暂行办法》（京大数据发〔2019〕2号）、《北京市“十四五”时期智慧城市发展行动纲要》（京大数据发〔2021〕1号）、《北京数字经济促进条例》（北京市人民代表大会常务委员会公告〔十五届〕第89号）、《北京市2023年智慧城市建设重点工作任务》（京大数据办发〔2023〕2号）、《北京市2024年政务服务和数据管理工作要点》等要求，北京市大数据中心（以下简称“市大数据中心”）公共数据治理部在前期项目立项、实施的基础上，于2023年继续申报2024年度社会数据统采共用项目。</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项目主要内容及实施情况</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社会数据统采共用项目由市大数据中心公共数据治理部负责预算申报、管理监督及第三方服务商确定工作，基于北京市机构改革方案，项目主管部门由北京市经济和信息化局（以下简称“市经济和信息化局”）变更为北京市政务服务和数据管理局（以下简称为“市政务和数据局”）。项目内容包括两大部分，共计6个子项，具体为：一是运营商数据采购服务部分，包括数据应用环境服务、数据源基础处理服务、数据计算分析服务等3个子项；二是互联网数据采购服务部分，包括群体类数据、物流类数据、其他类数据等3个子项。项目各项具体内容及实施完成情况见下表1。因合同签订时间有所延迟、且项目存在追加资金，以2025年4月底的数据考核相应产出完成情况，从已设定的核心绩效目标与指标角度，</w:t>
      </w:r>
      <w:r>
        <w:rPr>
          <w:rFonts w:hint="eastAsia" w:ascii="仿宋_GB2312" w:hAnsi="仿宋" w:eastAsia="仿宋_GB2312" w:cs="仿宋"/>
          <w:sz w:val="32"/>
          <w:szCs w:val="32"/>
          <w:highlight w:val="none"/>
        </w:rPr>
        <w:t>社会数据接入量、支持应用场景数、运维监测指标及数据服务量、特定字段使用权共享量</w:t>
      </w:r>
      <w:r>
        <w:rPr>
          <w:rFonts w:hint="eastAsia" w:ascii="仿宋_GB2312" w:hAnsi="Times New Roman" w:eastAsia="仿宋_GB2312"/>
          <w:kern w:val="0"/>
          <w:sz w:val="32"/>
          <w:szCs w:val="32"/>
          <w:highlight w:val="none"/>
          <w:lang w:bidi="zh-CN"/>
        </w:rPr>
        <w:t>均已完成既定目标；从具体工作计划及预算测算角度，数据应用环境服务、数据源基础处理服务、数据计算分析服务及互联网数据支撑服务等任务内容按照计划节点、保质保量完成。</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hAnsi="Times New Roman" w:eastAsia="仿宋_GB2312"/>
          <w:kern w:val="0"/>
          <w:sz w:val="32"/>
          <w:szCs w:val="32"/>
          <w:highlight w:val="none"/>
          <w:lang w:bidi="zh-CN"/>
        </w:rPr>
        <w:t>3.</w:t>
      </w:r>
      <w:r>
        <w:rPr>
          <w:rFonts w:hint="eastAsia" w:ascii="仿宋_GB2312" w:hAnsi="Times New Roman" w:eastAsia="仿宋_GB2312"/>
          <w:kern w:val="0"/>
          <w:sz w:val="32"/>
          <w:szCs w:val="32"/>
          <w:highlight w:val="none"/>
          <w:lang w:bidi="zh-CN"/>
        </w:rPr>
        <w:t>资金投入和使用情况</w:t>
      </w:r>
    </w:p>
    <w:p>
      <w:pPr>
        <w:adjustRightInd w:val="0"/>
        <w:snapToGrid w:val="0"/>
        <w:spacing w:line="560" w:lineRule="exact"/>
        <w:ind w:firstLine="640" w:firstLineChars="200"/>
        <w:outlineLvl w:val="1"/>
        <w:rPr>
          <w:rFonts w:hint="eastAsia" w:ascii="仿宋_GB2312" w:hAnsi="仿宋_GB2312"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该项目为延续性项目，2024</w:t>
      </w:r>
      <w:r>
        <w:rPr>
          <w:rFonts w:hint="eastAsia" w:ascii="仿宋_GB2312" w:hAnsi="仿宋_GB2312" w:eastAsia="仿宋_GB2312"/>
          <w:kern w:val="0"/>
          <w:sz w:val="32"/>
          <w:szCs w:val="32"/>
          <w:highlight w:val="none"/>
          <w:lang w:bidi="zh-CN"/>
        </w:rPr>
        <w:t>年度该项目年初预算批复总额为</w:t>
      </w:r>
      <w:r>
        <w:rPr>
          <w:rFonts w:hint="eastAsia" w:ascii="仿宋_GB2312" w:hAnsi="Times New Roman" w:eastAsia="仿宋_GB2312"/>
          <w:kern w:val="0"/>
          <w:sz w:val="32"/>
          <w:szCs w:val="32"/>
          <w:highlight w:val="none"/>
          <w:lang w:bidi="zh-CN"/>
        </w:rPr>
        <w:t>3350.00</w:t>
      </w:r>
      <w:r>
        <w:rPr>
          <w:rFonts w:hint="eastAsia" w:ascii="仿宋_GB2312" w:hAnsi="仿宋_GB2312" w:eastAsia="仿宋_GB2312"/>
          <w:kern w:val="0"/>
          <w:sz w:val="32"/>
          <w:szCs w:val="32"/>
          <w:highlight w:val="none"/>
          <w:lang w:bidi="zh-CN"/>
        </w:rPr>
        <w:t>万元、均为上年结转资金，年中追加1826.85万元，全年预算数共计5176.85万元。截至2024年12月底，项目实际支出5176.85万元，预算执行率100.00%。其中包括2024-2025年合同首款</w:t>
      </w:r>
      <w:r>
        <w:rPr>
          <w:rFonts w:hint="eastAsia" w:ascii="仿宋_GB2312" w:hAnsi="Times New Roman" w:eastAsia="仿宋_GB2312"/>
          <w:kern w:val="0"/>
          <w:sz w:val="32"/>
          <w:szCs w:val="32"/>
          <w:highlight w:val="none"/>
          <w:lang w:bidi="zh-CN"/>
        </w:rPr>
        <w:t>3350.00</w:t>
      </w:r>
      <w:r>
        <w:rPr>
          <w:rFonts w:hint="eastAsia" w:ascii="仿宋_GB2312" w:hAnsi="仿宋_GB2312" w:eastAsia="仿宋_GB2312"/>
          <w:kern w:val="0"/>
          <w:sz w:val="32"/>
          <w:szCs w:val="32"/>
          <w:highlight w:val="none"/>
          <w:lang w:bidi="zh-CN"/>
        </w:rPr>
        <w:t>万元（均使用上年结转资金支付），合同中期款1826.85万元（均使用年中追加资金支付）。</w:t>
      </w:r>
      <w:bookmarkStart w:id="2" w:name="_Toc130895910"/>
      <w:bookmarkStart w:id="3" w:name="_Toc21544"/>
      <w:bookmarkStart w:id="4" w:name="_Toc7357"/>
      <w:bookmarkStart w:id="5" w:name="_Hlk129877922"/>
    </w:p>
    <w:p>
      <w:pPr>
        <w:adjustRightInd w:val="0"/>
        <w:snapToGrid w:val="0"/>
        <w:spacing w:line="560" w:lineRule="exact"/>
        <w:ind w:firstLine="640" w:firstLineChars="200"/>
        <w:outlineLvl w:val="1"/>
        <w:rPr>
          <w:rFonts w:ascii="楷体_GB2312" w:hAnsi="Times New Roman" w:eastAsia="楷体_GB2312"/>
          <w:bCs/>
          <w:caps/>
          <w:sz w:val="32"/>
          <w:szCs w:val="32"/>
          <w:highlight w:val="none"/>
        </w:rPr>
      </w:pPr>
      <w:r>
        <w:rPr>
          <w:rFonts w:hint="eastAsia" w:ascii="楷体_GB2312" w:hAnsi="Times New Roman" w:eastAsia="楷体_GB2312"/>
          <w:bCs/>
          <w:caps/>
          <w:sz w:val="32"/>
          <w:szCs w:val="32"/>
          <w:highlight w:val="none"/>
        </w:rPr>
        <w:t>（二）项目绩效目标</w:t>
      </w:r>
      <w:bookmarkEnd w:id="2"/>
      <w:bookmarkEnd w:id="3"/>
      <w:bookmarkEnd w:id="4"/>
    </w:p>
    <w:bookmarkEnd w:id="5"/>
    <w:p>
      <w:pPr>
        <w:adjustRightInd w:val="0"/>
        <w:snapToGrid w:val="0"/>
        <w:spacing w:line="560" w:lineRule="exact"/>
        <w:ind w:firstLine="640" w:firstLineChars="200"/>
        <w:outlineLvl w:val="2"/>
        <w:rPr>
          <w:rFonts w:ascii="仿宋_GB2312" w:hAnsi="Times New Roman" w:eastAsia="仿宋_GB2312"/>
          <w:kern w:val="0"/>
          <w:sz w:val="32"/>
          <w:szCs w:val="32"/>
          <w:highlight w:val="none"/>
          <w:lang w:bidi="zh-CN"/>
        </w:rPr>
      </w:pPr>
      <w:bookmarkStart w:id="6" w:name="_Hlk129877820"/>
      <w:r>
        <w:rPr>
          <w:rFonts w:ascii="仿宋_GB2312" w:eastAsia="仿宋_GB2312"/>
          <w:sz w:val="32"/>
          <w:szCs w:val="32"/>
          <w:highlight w:val="none"/>
        </w:rPr>
        <w:t>1.</w:t>
      </w:r>
      <w:r>
        <w:rPr>
          <w:rFonts w:hint="eastAsia" w:ascii="仿宋_GB2312" w:eastAsia="仿宋_GB2312"/>
          <w:sz w:val="32"/>
          <w:szCs w:val="32"/>
          <w:highlight w:val="none"/>
        </w:rPr>
        <w:t>项目年度绩效目标</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该项目2</w:t>
      </w:r>
      <w:r>
        <w:rPr>
          <w:rFonts w:ascii="仿宋_GB2312" w:hAnsi="Times New Roman" w:eastAsia="仿宋_GB2312"/>
          <w:sz w:val="32"/>
          <w:szCs w:val="32"/>
          <w:highlight w:val="none"/>
        </w:rPr>
        <w:t>02</w:t>
      </w:r>
      <w:r>
        <w:rPr>
          <w:rFonts w:hint="eastAsia" w:ascii="仿宋_GB2312" w:hAnsi="Times New Roman" w:eastAsia="仿宋_GB2312"/>
          <w:sz w:val="32"/>
          <w:szCs w:val="32"/>
          <w:highlight w:val="none"/>
        </w:rPr>
        <w:t>4年度绩效目标为：</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1）结合全市重大应用需求，分别采购三家电信运营商基于信令数据提取的对象数据特定字段在指定时间和空间范围内的使用权；结合数据应用需求，由三家电信运营商提供所需的数据以及计算、存储等相关资源支撑，配合开展模型部署、数据测算等工作，按需输出数据结果到大数据平台；</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（2）结合重点业务应用需求，采购部分涉“人”、涉“企”等互联网数据，为相关部门提供数据共享服务；</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3）利用统采的社会数据，按需为全市重点应用场景提供数据支撑，促进政企数据融合；通过社会数据统采共用，减少财政资金重复投入，节约各部门分别采购数据成本，同时提高各部门对接和使用社会数据的效率，节省各部门与社会机构分别对接沟通的时间成本。</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项目年度绩效指标</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该项目根据年度绩效目标设定了绩效指标，2</w:t>
      </w:r>
      <w:r>
        <w:rPr>
          <w:rFonts w:ascii="仿宋_GB2312" w:hAnsi="Times New Roman" w:eastAsia="仿宋_GB2312"/>
          <w:sz w:val="32"/>
          <w:szCs w:val="32"/>
          <w:highlight w:val="none"/>
        </w:rPr>
        <w:t>02</w:t>
      </w:r>
      <w:r>
        <w:rPr>
          <w:rFonts w:hint="eastAsia" w:ascii="仿宋_GB2312" w:hAnsi="Times New Roman" w:eastAsia="仿宋_GB2312"/>
          <w:sz w:val="32"/>
          <w:szCs w:val="32"/>
          <w:highlight w:val="none"/>
        </w:rPr>
        <w:t>4年度项目绩效指标情况见表1。</w:t>
      </w:r>
    </w:p>
    <w:p>
      <w:pPr>
        <w:adjustRightInd w:val="0"/>
        <w:snapToGrid w:val="0"/>
        <w:spacing w:line="560" w:lineRule="exact"/>
        <w:ind w:firstLine="280" w:firstLineChars="100"/>
        <w:jc w:val="center"/>
        <w:rPr>
          <w:rFonts w:hint="eastAsia" w:ascii="黑体" w:hAnsi="黑体" w:eastAsia="黑体"/>
          <w:sz w:val="28"/>
          <w:szCs w:val="28"/>
          <w:highlight w:val="none"/>
        </w:rPr>
      </w:pPr>
      <w:r>
        <w:rPr>
          <w:rFonts w:hint="eastAsia" w:ascii="黑体" w:hAnsi="黑体" w:eastAsia="黑体"/>
          <w:sz w:val="28"/>
          <w:szCs w:val="28"/>
          <w:highlight w:val="none"/>
        </w:rPr>
        <w:t>表1：2</w:t>
      </w:r>
      <w:r>
        <w:rPr>
          <w:rFonts w:ascii="黑体" w:hAnsi="黑体" w:eastAsia="黑体"/>
          <w:sz w:val="28"/>
          <w:szCs w:val="28"/>
          <w:highlight w:val="none"/>
        </w:rPr>
        <w:t>02</w:t>
      </w:r>
      <w:r>
        <w:rPr>
          <w:rFonts w:hint="eastAsia" w:ascii="黑体" w:hAnsi="黑体" w:eastAsia="黑体"/>
          <w:sz w:val="28"/>
          <w:szCs w:val="28"/>
          <w:highlight w:val="none"/>
        </w:rPr>
        <w:t>4年度社会项目绩效指标</w:t>
      </w:r>
    </w:p>
    <w:tbl>
      <w:tblPr>
        <w:tblStyle w:val="14"/>
        <w:tblW w:w="5000" w:type="pct"/>
        <w:tblInd w:w="0" w:type="dxa"/>
        <w:tblLayout w:type="autofit"/>
        <w:tblCellMar>
          <w:top w:w="0" w:type="dxa"/>
          <w:left w:w="108" w:type="dxa"/>
          <w:bottom w:w="0" w:type="dxa"/>
          <w:right w:w="108" w:type="dxa"/>
        </w:tblCellMar>
      </w:tblPr>
      <w:tblGrid>
        <w:gridCol w:w="1285"/>
        <w:gridCol w:w="1496"/>
        <w:gridCol w:w="3772"/>
        <w:gridCol w:w="1969"/>
      </w:tblGrid>
      <w:tr>
        <w:tblPrEx>
          <w:tblCellMar>
            <w:top w:w="0" w:type="dxa"/>
            <w:left w:w="108" w:type="dxa"/>
            <w:bottom w:w="0" w:type="dxa"/>
            <w:right w:w="108" w:type="dxa"/>
          </w:tblCellMar>
        </w:tblPrEx>
        <w:trPr>
          <w:trHeight w:val="20" w:hRule="atLeast"/>
        </w:trPr>
        <w:tc>
          <w:tcPr>
            <w:tcW w:w="75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0"/>
                <w:szCs w:val="20"/>
                <w:highlight w:val="none"/>
                <w:lang w:bidi="ar"/>
              </w:rPr>
            </w:pPr>
            <w:r>
              <w:rPr>
                <w:rFonts w:hint="eastAsia" w:ascii="宋体" w:hAnsi="宋体" w:eastAsia="宋体" w:cs="宋体"/>
                <w:b/>
                <w:bCs/>
                <w:color w:val="000000"/>
                <w:kern w:val="0"/>
                <w:sz w:val="20"/>
                <w:szCs w:val="20"/>
                <w:highlight w:val="none"/>
                <w:lang w:bidi="ar"/>
              </w:rPr>
              <w:t>一级指标</w:t>
            </w:r>
          </w:p>
        </w:tc>
        <w:tc>
          <w:tcPr>
            <w:tcW w:w="878"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0"/>
                <w:szCs w:val="20"/>
                <w:highlight w:val="none"/>
                <w:lang w:bidi="ar"/>
              </w:rPr>
            </w:pPr>
            <w:r>
              <w:rPr>
                <w:rFonts w:hint="eastAsia" w:ascii="宋体" w:hAnsi="宋体" w:eastAsia="宋体" w:cs="宋体"/>
                <w:b/>
                <w:bCs/>
                <w:color w:val="000000"/>
                <w:kern w:val="0"/>
                <w:sz w:val="20"/>
                <w:szCs w:val="20"/>
                <w:highlight w:val="none"/>
                <w:lang w:bidi="ar"/>
              </w:rPr>
              <w:t>二级指标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0"/>
                <w:szCs w:val="20"/>
                <w:highlight w:val="none"/>
                <w:lang w:bidi="ar"/>
              </w:rPr>
            </w:pPr>
            <w:r>
              <w:rPr>
                <w:rFonts w:hint="eastAsia" w:ascii="宋体" w:hAnsi="宋体" w:eastAsia="宋体" w:cs="宋体"/>
                <w:b/>
                <w:bCs/>
                <w:color w:val="000000"/>
                <w:kern w:val="0"/>
                <w:sz w:val="20"/>
                <w:szCs w:val="20"/>
                <w:highlight w:val="none"/>
                <w:lang w:bidi="ar"/>
              </w:rPr>
              <w:t>三级指标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0"/>
                <w:szCs w:val="20"/>
                <w:highlight w:val="none"/>
                <w:lang w:bidi="ar"/>
              </w:rPr>
            </w:pPr>
            <w:r>
              <w:rPr>
                <w:rFonts w:hint="eastAsia" w:ascii="宋体" w:hAnsi="宋体" w:eastAsia="宋体" w:cs="宋体"/>
                <w:b/>
                <w:bCs/>
                <w:color w:val="000000"/>
                <w:kern w:val="0"/>
                <w:sz w:val="20"/>
                <w:szCs w:val="20"/>
                <w:highlight w:val="none"/>
                <w:lang w:bidi="ar"/>
              </w:rPr>
              <w:t>年度指标值</w:t>
            </w:r>
          </w:p>
        </w:tc>
      </w:tr>
      <w:tr>
        <w:tblPrEx>
          <w:tblCellMar>
            <w:top w:w="0" w:type="dxa"/>
            <w:left w:w="108" w:type="dxa"/>
            <w:bottom w:w="0" w:type="dxa"/>
            <w:right w:w="108" w:type="dxa"/>
          </w:tblCellMar>
        </w:tblPrEx>
        <w:trPr>
          <w:trHeight w:val="340" w:hRule="atLeast"/>
        </w:trPr>
        <w:tc>
          <w:tcPr>
            <w:tcW w:w="75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成本指标</w:t>
            </w:r>
          </w:p>
        </w:tc>
        <w:tc>
          <w:tcPr>
            <w:tcW w:w="87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经济成本指标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社会数据统采成本</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≤6699万元</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专家费成本</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≤1万元</w:t>
            </w:r>
          </w:p>
        </w:tc>
      </w:tr>
      <w:tr>
        <w:tblPrEx>
          <w:tblCellMar>
            <w:top w:w="0" w:type="dxa"/>
            <w:left w:w="108" w:type="dxa"/>
            <w:bottom w:w="0" w:type="dxa"/>
            <w:right w:w="108" w:type="dxa"/>
          </w:tblCellMar>
        </w:tblPrEx>
        <w:trPr>
          <w:trHeight w:val="340" w:hRule="atLeast"/>
        </w:trPr>
        <w:tc>
          <w:tcPr>
            <w:tcW w:w="75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产出指标</w:t>
            </w:r>
          </w:p>
        </w:tc>
        <w:tc>
          <w:tcPr>
            <w:tcW w:w="87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数量指标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接入数据量</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≥7000000万条</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支持数据共享服务的应用场景数</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≥35个</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采购基于运营商数据提取的对象、设备、基站等数据使用权特定字段数量</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≥30项</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指标模型部署数量</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≥60个</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质量指标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运营商数据精度准确率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≥90%</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业务应用需求满足率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≥90%</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互联网数据服务及时率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≥90%</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时效指标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截至2月底合同签订完成率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=100%</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截至4月底项目支出完成率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=100%</w:t>
            </w:r>
          </w:p>
        </w:tc>
      </w:tr>
      <w:tr>
        <w:tblPrEx>
          <w:tblCellMar>
            <w:top w:w="0" w:type="dxa"/>
            <w:left w:w="108" w:type="dxa"/>
            <w:bottom w:w="0" w:type="dxa"/>
            <w:right w:w="108" w:type="dxa"/>
          </w:tblCellMar>
        </w:tblPrEx>
        <w:trPr>
          <w:trHeight w:val="340" w:hRule="atLeast"/>
        </w:trPr>
        <w:tc>
          <w:tcPr>
            <w:tcW w:w="75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效益指标</w:t>
            </w:r>
          </w:p>
        </w:tc>
        <w:tc>
          <w:tcPr>
            <w:tcW w:w="87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社会效益指标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提高各部门对接和使用社会数据的效率、促进政企数据融合</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优良中</w:t>
            </w:r>
          </w:p>
        </w:tc>
      </w:tr>
      <w:tr>
        <w:tblPrEx>
          <w:tblCellMar>
            <w:top w:w="0" w:type="dxa"/>
            <w:left w:w="108" w:type="dxa"/>
            <w:bottom w:w="0" w:type="dxa"/>
            <w:right w:w="108" w:type="dxa"/>
          </w:tblCellMar>
        </w:tblPrEx>
        <w:trPr>
          <w:trHeight w:val="340" w:hRule="atLeast"/>
        </w:trPr>
        <w:tc>
          <w:tcPr>
            <w:tcW w:w="75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878"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数据应用范围覆盖率</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=100%</w:t>
            </w:r>
          </w:p>
        </w:tc>
      </w:tr>
      <w:tr>
        <w:tblPrEx>
          <w:tblCellMar>
            <w:top w:w="0" w:type="dxa"/>
            <w:left w:w="108" w:type="dxa"/>
            <w:bottom w:w="0" w:type="dxa"/>
            <w:right w:w="108" w:type="dxa"/>
          </w:tblCellMar>
        </w:tblPrEx>
        <w:trPr>
          <w:trHeight w:val="20" w:hRule="atLeast"/>
        </w:trPr>
        <w:tc>
          <w:tcPr>
            <w:tcW w:w="75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满意度指标</w:t>
            </w:r>
          </w:p>
        </w:tc>
        <w:tc>
          <w:tcPr>
            <w:tcW w:w="878"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服务对象满意度指标</w:t>
            </w:r>
          </w:p>
        </w:tc>
        <w:tc>
          <w:tcPr>
            <w:tcW w:w="2213"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数据共享使用单位满意度</w:t>
            </w:r>
          </w:p>
        </w:tc>
        <w:tc>
          <w:tcPr>
            <w:tcW w:w="11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≥90%</w:t>
            </w:r>
          </w:p>
        </w:tc>
      </w:tr>
      <w:bookmarkEnd w:id="6"/>
    </w:tbl>
    <w:p>
      <w:pPr>
        <w:adjustRightInd w:val="0"/>
        <w:snapToGrid w:val="0"/>
        <w:spacing w:line="560" w:lineRule="exact"/>
        <w:rPr>
          <w:rFonts w:ascii="仿宋_GB2312" w:hAnsi="Times New Roman" w:eastAsia="仿宋_GB2312"/>
          <w:sz w:val="20"/>
          <w:szCs w:val="20"/>
          <w:highlight w:val="none"/>
        </w:rPr>
      </w:pPr>
    </w:p>
    <w:p>
      <w:pPr>
        <w:adjustRightInd w:val="0"/>
        <w:snapToGrid w:val="0"/>
        <w:spacing w:line="560" w:lineRule="exact"/>
        <w:ind w:firstLine="640" w:firstLineChars="200"/>
        <w:outlineLvl w:val="0"/>
        <w:rPr>
          <w:rFonts w:ascii="Times New Roman" w:hAnsi="Times New Roman" w:eastAsia="黑体"/>
          <w:bCs/>
          <w:caps/>
          <w:sz w:val="32"/>
          <w:szCs w:val="32"/>
          <w:highlight w:val="none"/>
        </w:rPr>
      </w:pPr>
      <w:bookmarkStart w:id="7" w:name="_Toc4130"/>
      <w:bookmarkStart w:id="8" w:name="_Toc7361"/>
      <w:r>
        <w:rPr>
          <w:rFonts w:hint="eastAsia" w:ascii="Times New Roman" w:hAnsi="Times New Roman" w:eastAsia="黑体"/>
          <w:bCs/>
          <w:caps/>
          <w:sz w:val="32"/>
          <w:szCs w:val="32"/>
          <w:highlight w:val="none"/>
        </w:rPr>
        <w:t>二、绩效评价工作开展情况</w:t>
      </w:r>
      <w:bookmarkEnd w:id="7"/>
    </w:p>
    <w:p>
      <w:pPr>
        <w:snapToGrid w:val="0"/>
        <w:spacing w:line="560" w:lineRule="exact"/>
        <w:ind w:firstLine="640" w:firstLineChars="200"/>
        <w:outlineLvl w:val="1"/>
        <w:rPr>
          <w:rFonts w:ascii="Times New Roman" w:hAnsi="Times New Roman" w:eastAsia="楷体"/>
          <w:bCs/>
          <w:caps/>
          <w:sz w:val="32"/>
          <w:szCs w:val="32"/>
          <w:highlight w:val="none"/>
        </w:rPr>
      </w:pPr>
      <w:bookmarkStart w:id="9" w:name="_Toc22436"/>
      <w:r>
        <w:rPr>
          <w:rFonts w:hint="eastAsia" w:ascii="Times New Roman" w:hAnsi="Times New Roman" w:eastAsia="楷体"/>
          <w:bCs/>
          <w:caps/>
          <w:sz w:val="32"/>
          <w:szCs w:val="32"/>
          <w:highlight w:val="none"/>
        </w:rPr>
        <w:t>（一）绩效评价目的、对象</w:t>
      </w:r>
      <w:bookmarkEnd w:id="9"/>
    </w:p>
    <w:p>
      <w:pPr>
        <w:pStyle w:val="12"/>
        <w:shd w:val="clear" w:color="auto" w:fill="FFFFFF"/>
        <w:adjustRightInd w:val="0"/>
        <w:snapToGrid w:val="0"/>
        <w:spacing w:beforeAutospacing="0" w:afterAutospacing="0" w:line="560" w:lineRule="exact"/>
        <w:ind w:firstLine="640" w:firstLineChars="200"/>
        <w:jc w:val="both"/>
        <w:rPr>
          <w:rFonts w:ascii="仿宋_GB2312" w:hAnsi="Times New Roman" w:eastAsia="仿宋_GB2312"/>
          <w:iCs/>
          <w:sz w:val="32"/>
          <w:szCs w:val="32"/>
          <w:highlight w:val="none"/>
          <w:lang w:bidi="zh-CN"/>
        </w:rPr>
      </w:pPr>
      <w:bookmarkStart w:id="10" w:name="_Hlk129880222"/>
      <w:r>
        <w:rPr>
          <w:rFonts w:ascii="仿宋_GB2312" w:hAnsi="仿宋" w:eastAsia="仿宋_GB2312"/>
          <w:kern w:val="2"/>
          <w:sz w:val="32"/>
          <w:szCs w:val="32"/>
          <w:highlight w:val="none"/>
        </w:rPr>
        <w:t>依据</w:t>
      </w:r>
      <w:r>
        <w:rPr>
          <w:rFonts w:hint="eastAsia" w:ascii="仿宋_GB2312" w:hAnsi="仿宋_GB2312" w:eastAsia="仿宋_GB2312" w:cs="仿宋_GB2312"/>
          <w:snapToGrid w:val="0"/>
          <w:sz w:val="32"/>
          <w:szCs w:val="32"/>
          <w:highlight w:val="none"/>
        </w:rPr>
        <w:t>《北京市项目支出绩效评价管理办法》（京财绩效</w:t>
      </w:r>
      <w:r>
        <w:rPr>
          <w:rFonts w:hint="eastAsia" w:ascii="仿宋_GB2312" w:hAnsi="Times New Roman" w:eastAsia="仿宋_GB2312"/>
          <w:iCs/>
          <w:sz w:val="32"/>
          <w:szCs w:val="32"/>
          <w:highlight w:val="none"/>
          <w:lang w:bidi="zh-CN"/>
        </w:rPr>
        <w:t>〔2020〕2</w:t>
      </w:r>
      <w:r>
        <w:rPr>
          <w:rFonts w:ascii="仿宋_GB2312" w:hAnsi="Times New Roman" w:eastAsia="仿宋_GB2312"/>
          <w:iCs/>
          <w:sz w:val="32"/>
          <w:szCs w:val="32"/>
          <w:highlight w:val="none"/>
          <w:lang w:bidi="zh-CN"/>
        </w:rPr>
        <w:t>146</w:t>
      </w:r>
      <w:r>
        <w:rPr>
          <w:rFonts w:hint="eastAsia" w:ascii="仿宋_GB2312" w:hAnsi="Times New Roman" w:eastAsia="仿宋_GB2312"/>
          <w:iCs/>
          <w:sz w:val="32"/>
          <w:szCs w:val="32"/>
          <w:highlight w:val="none"/>
          <w:lang w:bidi="zh-CN"/>
        </w:rPr>
        <w:t>号</w:t>
      </w:r>
      <w:r>
        <w:rPr>
          <w:rFonts w:hint="eastAsia" w:ascii="仿宋_GB2312" w:hAnsi="仿宋_GB2312" w:eastAsia="仿宋_GB2312" w:cs="仿宋_GB2312"/>
          <w:snapToGrid w:val="0"/>
          <w:sz w:val="32"/>
          <w:szCs w:val="32"/>
          <w:highlight w:val="none"/>
        </w:rPr>
        <w:t>）、及市财政局《关于2025年预算绩效管理工作的通知》（京财绩效〔2025〕245号）</w:t>
      </w:r>
      <w:r>
        <w:rPr>
          <w:rFonts w:hint="eastAsia" w:ascii="仿宋_GB2312" w:hAnsi="仿宋" w:eastAsia="仿宋_GB2312"/>
          <w:kern w:val="2"/>
          <w:sz w:val="32"/>
          <w:szCs w:val="32"/>
          <w:highlight w:val="none"/>
        </w:rPr>
        <w:t>等相关文件规定</w:t>
      </w:r>
      <w:r>
        <w:rPr>
          <w:rFonts w:ascii="仿宋_GB2312" w:hAnsi="仿宋" w:eastAsia="仿宋_GB2312"/>
          <w:kern w:val="2"/>
          <w:sz w:val="32"/>
          <w:szCs w:val="32"/>
          <w:highlight w:val="none"/>
        </w:rPr>
        <w:t>，</w:t>
      </w:r>
      <w:r>
        <w:rPr>
          <w:rFonts w:hint="eastAsia" w:ascii="仿宋_GB2312" w:hAnsi="Times New Roman" w:eastAsia="仿宋_GB2312"/>
          <w:iCs/>
          <w:sz w:val="32"/>
          <w:szCs w:val="32"/>
          <w:highlight w:val="none"/>
          <w:lang w:bidi="zh-CN"/>
        </w:rPr>
        <w:t>按照市政务和数据局项目绩效评价工作要求，评价机构</w:t>
      </w:r>
      <w:r>
        <w:rPr>
          <w:rFonts w:hint="eastAsia" w:ascii="仿宋_GB2312" w:hAnsi="仿宋" w:eastAsia="仿宋_GB2312"/>
          <w:kern w:val="2"/>
          <w:sz w:val="32"/>
          <w:szCs w:val="32"/>
          <w:highlight w:val="none"/>
        </w:rPr>
        <w:t>本</w:t>
      </w:r>
      <w:r>
        <w:rPr>
          <w:rFonts w:ascii="仿宋_GB2312" w:hAnsi="仿宋" w:eastAsia="仿宋_GB2312"/>
          <w:kern w:val="2"/>
          <w:sz w:val="32"/>
          <w:szCs w:val="32"/>
          <w:highlight w:val="none"/>
        </w:rPr>
        <w:t>次</w:t>
      </w:r>
      <w:r>
        <w:rPr>
          <w:rFonts w:hint="eastAsia" w:ascii="仿宋_GB2312" w:hAnsi="仿宋" w:eastAsia="仿宋_GB2312"/>
          <w:kern w:val="2"/>
          <w:sz w:val="32"/>
          <w:szCs w:val="32"/>
          <w:highlight w:val="none"/>
        </w:rPr>
        <w:t>聚焦“2024年社会数据统采共用项目”</w:t>
      </w:r>
      <w:r>
        <w:rPr>
          <w:rFonts w:hint="eastAsia" w:ascii="仿宋_GB2312" w:hAnsi="Times New Roman" w:eastAsia="仿宋_GB2312"/>
          <w:iCs/>
          <w:sz w:val="32"/>
          <w:szCs w:val="32"/>
          <w:highlight w:val="none"/>
          <w:lang w:bidi="zh-CN"/>
        </w:rPr>
        <w:t>资金，在对项目进行全面系统梳理和分析的基础上，评价机构围绕决策、过程、产出、效益四个维度开展绩效评价工作，旨在总结经验、发现问题、剖析原因、提出改进建议，形成项目总体认识和评价结论，为部门科学决策、规范管理提供参考，促进项目实施单位改进工作，提高资源配置效率和资金使用效益。</w:t>
      </w:r>
    </w:p>
    <w:p>
      <w:pPr>
        <w:adjustRightInd w:val="0"/>
        <w:snapToGrid w:val="0"/>
        <w:spacing w:line="560" w:lineRule="exact"/>
        <w:ind w:firstLine="640" w:firstLineChars="200"/>
        <w:outlineLvl w:val="1"/>
        <w:rPr>
          <w:rFonts w:hint="eastAsia" w:ascii="楷体_GB2312" w:eastAsia="楷体_GB2312"/>
          <w:color w:val="000000"/>
          <w:sz w:val="32"/>
          <w:szCs w:val="32"/>
          <w:highlight w:val="none"/>
        </w:rPr>
      </w:pPr>
      <w:bookmarkStart w:id="11" w:name="_Toc54252553"/>
      <w:bookmarkStart w:id="12" w:name="_Toc32193"/>
      <w:bookmarkStart w:id="13" w:name="_Toc54194565"/>
      <w:bookmarkStart w:id="14" w:name="_Toc35588403"/>
      <w:bookmarkStart w:id="15" w:name="_Toc130166647"/>
      <w:r>
        <w:rPr>
          <w:rFonts w:hint="eastAsia" w:ascii="楷体_GB2312" w:eastAsia="楷体_GB2312"/>
          <w:color w:val="000000"/>
          <w:sz w:val="32"/>
          <w:szCs w:val="32"/>
          <w:highlight w:val="none"/>
        </w:rPr>
        <w:t>（二）绩效评价原则、评价方法、评价指标体系</w:t>
      </w:r>
      <w:bookmarkEnd w:id="11"/>
      <w:bookmarkEnd w:id="12"/>
      <w:bookmarkEnd w:id="13"/>
      <w:bookmarkEnd w:id="14"/>
      <w:bookmarkEnd w:id="15"/>
    </w:p>
    <w:p>
      <w:pPr>
        <w:tabs>
          <w:tab w:val="left" w:pos="4065"/>
        </w:tabs>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1.评价原则和方法</w:t>
      </w:r>
    </w:p>
    <w:p>
      <w:pPr>
        <w:adjustRightInd w:val="0"/>
        <w:snapToGrid w:val="0"/>
        <w:spacing w:line="560" w:lineRule="exact"/>
        <w:ind w:firstLine="640" w:firstLineChars="200"/>
        <w:rPr>
          <w:rFonts w:hint="eastAsia" w:ascii="仿宋_GB2312"/>
          <w:color w:val="000000"/>
          <w:sz w:val="32"/>
          <w:szCs w:val="32"/>
          <w:highlight w:val="none"/>
        </w:rPr>
      </w:pPr>
      <w:r>
        <w:rPr>
          <w:rFonts w:hint="eastAsia" w:ascii="仿宋_GB2312" w:hAnsi="宋体" w:eastAsia="仿宋_GB2312"/>
          <w:bCs/>
          <w:color w:val="000000"/>
          <w:sz w:val="32"/>
          <w:szCs w:val="32"/>
          <w:highlight w:val="none"/>
        </w:rPr>
        <w:t>本次评价本着科学公正、统筹兼顾、激励约束、公开透明的原则，</w:t>
      </w:r>
      <w:r>
        <w:rPr>
          <w:rFonts w:hint="eastAsia" w:ascii="仿宋_GB2312" w:eastAsia="仿宋_GB2312"/>
          <w:color w:val="000000"/>
          <w:sz w:val="32"/>
          <w:szCs w:val="32"/>
          <w:highlight w:val="none"/>
        </w:rPr>
        <w:t>采用全面评价和重点评价相结合、定性分析与定量分析相结合的方式方法</w:t>
      </w:r>
      <w:r>
        <w:rPr>
          <w:rFonts w:hint="eastAsia" w:ascii="仿宋_GB2312" w:hAnsi="宋体" w:eastAsia="仿宋_GB2312"/>
          <w:bCs/>
          <w:color w:val="000000"/>
          <w:sz w:val="32"/>
          <w:szCs w:val="32"/>
          <w:highlight w:val="none"/>
        </w:rPr>
        <w:t>，运用案卷研究、网络调查、电话沟通、专家咨询等多种方式，结合成本效益分析法、比较法、因素分析法</w:t>
      </w:r>
      <w:r>
        <w:rPr>
          <w:rFonts w:hint="eastAsia" w:ascii="仿宋_GB2312" w:eastAsia="仿宋_GB2312"/>
          <w:color w:val="000000"/>
          <w:sz w:val="32"/>
          <w:szCs w:val="32"/>
          <w:highlight w:val="none"/>
        </w:rPr>
        <w:t>、专家评判法等多种方法，对项目决策、过程、产出、效益四方面进行综合评价，</w:t>
      </w:r>
      <w:r>
        <w:rPr>
          <w:rFonts w:hint="eastAsia" w:ascii="仿宋_GB2312" w:eastAsia="仿宋_GB2312" w:cs="仿宋_GB2312"/>
          <w:sz w:val="32"/>
          <w:szCs w:val="32"/>
          <w:highlight w:val="none"/>
        </w:rPr>
        <w:t>并提出改进意见和建议，以促进工作的规范化以及财政资金使用效益的有效提高</w:t>
      </w:r>
      <w:r>
        <w:rPr>
          <w:rFonts w:hint="eastAsia" w:ascii="仿宋_GB2312" w:eastAsia="仿宋_GB2312"/>
          <w:color w:val="000000"/>
          <w:sz w:val="32"/>
          <w:szCs w:val="32"/>
          <w:highlight w:val="none"/>
        </w:rPr>
        <w:t>。</w:t>
      </w:r>
    </w:p>
    <w:p>
      <w:pPr>
        <w:tabs>
          <w:tab w:val="left" w:pos="4065"/>
        </w:tabs>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2.评价指标体系及评价标准</w:t>
      </w:r>
    </w:p>
    <w:p>
      <w:pPr>
        <w:adjustRightInd w:val="0"/>
        <w:snapToGrid w:val="0"/>
        <w:spacing w:line="560" w:lineRule="exact"/>
        <w:ind w:firstLine="640" w:firstLineChars="200"/>
        <w:rPr>
          <w:rFonts w:ascii="Times New Roman" w:hAnsi="Times New Roman" w:eastAsia="仿宋_GB2312"/>
          <w:bCs/>
          <w:caps/>
          <w:sz w:val="32"/>
          <w:szCs w:val="32"/>
          <w:highlight w:val="none"/>
        </w:rPr>
      </w:pPr>
      <w:r>
        <w:rPr>
          <w:rFonts w:hint="eastAsia" w:ascii="仿宋_GB2312" w:hAnsi="仿宋" w:eastAsia="仿宋_GB2312" w:cs="仿宋"/>
          <w:sz w:val="32"/>
          <w:szCs w:val="32"/>
          <w:highlight w:val="none"/>
        </w:rPr>
        <w:t>本次评价指标体系</w:t>
      </w:r>
      <w:r>
        <w:rPr>
          <w:rFonts w:hint="eastAsia" w:ascii="仿宋_GB2312" w:hAnsi="仿宋" w:eastAsia="仿宋_GB2312"/>
          <w:color w:val="000000"/>
          <w:sz w:val="32"/>
          <w:szCs w:val="32"/>
          <w:highlight w:val="none"/>
        </w:rPr>
        <w:t>根据</w:t>
      </w:r>
      <w:r>
        <w:rPr>
          <w:rFonts w:hint="eastAsia" w:ascii="仿宋_GB2312" w:hAnsi="仿宋_GB2312" w:eastAsia="仿宋_GB2312" w:cs="仿宋_GB2312"/>
          <w:snapToGrid w:val="0"/>
          <w:kern w:val="0"/>
          <w:sz w:val="32"/>
          <w:szCs w:val="32"/>
          <w:highlight w:val="none"/>
        </w:rPr>
        <w:t>依据《北京市项目支出绩效评价管理办法》（京财绩效〔2020〕2146号）</w:t>
      </w:r>
      <w:r>
        <w:rPr>
          <w:rFonts w:hint="eastAsia" w:ascii="仿宋_GB2312" w:hAnsi="仿宋" w:eastAsia="仿宋_GB2312"/>
          <w:color w:val="000000"/>
          <w:sz w:val="32"/>
          <w:szCs w:val="32"/>
          <w:highlight w:val="none"/>
        </w:rPr>
        <w:t>有关要求、结合项目特点设置，</w:t>
      </w:r>
      <w:r>
        <w:rPr>
          <w:rFonts w:hint="eastAsia" w:ascii="仿宋_GB2312" w:hAnsi="仿宋" w:eastAsia="仿宋_GB2312" w:cs="仿宋"/>
          <w:sz w:val="32"/>
          <w:szCs w:val="32"/>
          <w:highlight w:val="none"/>
        </w:rPr>
        <w:t>包括决策、过程、产出及效益4个一级指标，10个二级指标和21个三级指标，满分为100分。</w:t>
      </w:r>
      <w:r>
        <w:rPr>
          <w:rFonts w:hint="eastAsia" w:ascii="仿宋_GB2312" w:hAnsi="仿宋" w:eastAsia="仿宋_GB2312"/>
          <w:b/>
          <w:sz w:val="32"/>
          <w:szCs w:val="32"/>
          <w:highlight w:val="none"/>
        </w:rPr>
        <w:t>一是决策（10分）</w:t>
      </w:r>
      <w:r>
        <w:rPr>
          <w:rFonts w:hint="eastAsia" w:ascii="仿宋_GB2312" w:hAnsi="仿宋" w:eastAsia="仿宋_GB2312"/>
          <w:sz w:val="32"/>
          <w:szCs w:val="32"/>
          <w:highlight w:val="none"/>
        </w:rPr>
        <w:t>，主</w:t>
      </w:r>
      <w:r>
        <w:rPr>
          <w:rFonts w:hint="eastAsia" w:ascii="仿宋_GB2312" w:hAnsi="仿宋" w:eastAsia="仿宋_GB2312" w:cs="仿宋"/>
          <w:sz w:val="32"/>
          <w:szCs w:val="32"/>
          <w:highlight w:val="none"/>
        </w:rPr>
        <w:t>要评价项目立项、绩效目标和资金投入情况。</w:t>
      </w:r>
      <w:r>
        <w:rPr>
          <w:rFonts w:hint="eastAsia" w:ascii="仿宋_GB2312" w:hAnsi="仿宋" w:eastAsia="仿宋_GB2312"/>
          <w:b/>
          <w:bCs/>
          <w:sz w:val="32"/>
          <w:szCs w:val="32"/>
          <w:highlight w:val="none"/>
        </w:rPr>
        <w:t>二是过程（20分），</w:t>
      </w:r>
      <w:r>
        <w:rPr>
          <w:rFonts w:hint="eastAsia" w:ascii="仿宋_GB2312" w:hAnsi="仿宋" w:eastAsia="仿宋_GB2312"/>
          <w:sz w:val="32"/>
          <w:szCs w:val="32"/>
          <w:highlight w:val="none"/>
        </w:rPr>
        <w:t>主</w:t>
      </w:r>
      <w:r>
        <w:rPr>
          <w:rFonts w:hint="eastAsia" w:ascii="仿宋_GB2312" w:hAnsi="仿宋" w:eastAsia="仿宋_GB2312" w:cs="仿宋"/>
          <w:sz w:val="32"/>
          <w:szCs w:val="32"/>
          <w:highlight w:val="none"/>
        </w:rPr>
        <w:t>要评价资金管理和组织实施情况。</w:t>
      </w:r>
      <w:r>
        <w:rPr>
          <w:rFonts w:hint="eastAsia" w:ascii="仿宋_GB2312" w:hAnsi="仿宋" w:eastAsia="仿宋_GB2312"/>
          <w:b/>
          <w:bCs/>
          <w:sz w:val="32"/>
          <w:szCs w:val="32"/>
          <w:highlight w:val="none"/>
        </w:rPr>
        <w:t>三是产出（40分），</w:t>
      </w:r>
      <w:r>
        <w:rPr>
          <w:rFonts w:hint="eastAsia" w:ascii="仿宋_GB2312" w:hAnsi="仿宋" w:eastAsia="仿宋_GB2312" w:cs="仿宋"/>
          <w:sz w:val="32"/>
          <w:szCs w:val="32"/>
          <w:highlight w:val="none"/>
        </w:rPr>
        <w:t>主要评价社会数据接入量、支持应用场景、运维监测指标及数据服务、特定字段使用权共享等产出数量、质量、时效完成情况和成本控制情况。</w:t>
      </w:r>
      <w:r>
        <w:rPr>
          <w:rFonts w:hint="eastAsia" w:ascii="仿宋_GB2312" w:hAnsi="仿宋" w:eastAsia="仿宋_GB2312"/>
          <w:b/>
          <w:bCs/>
          <w:sz w:val="32"/>
          <w:szCs w:val="32"/>
          <w:highlight w:val="none"/>
        </w:rPr>
        <w:t>四是效益（30分），</w:t>
      </w:r>
      <w:r>
        <w:rPr>
          <w:rFonts w:hint="eastAsia" w:ascii="仿宋_GB2312" w:hAnsi="仿宋" w:eastAsia="仿宋_GB2312" w:cs="仿宋"/>
          <w:sz w:val="32"/>
          <w:szCs w:val="32"/>
          <w:highlight w:val="none"/>
        </w:rPr>
        <w:t>主要评价项目实施后对促进社会数据共享及应用范围扩大、推动社会数据应用效率及服务能力提升等方面形成的效益和满意度情况。</w:t>
      </w:r>
    </w:p>
    <w:p>
      <w:pPr>
        <w:adjustRightInd w:val="0"/>
        <w:snapToGrid w:val="0"/>
        <w:spacing w:line="56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本次绩效评价综合评定级别，分为4个等级：综合得分在90（含）-100分为优；综合得分在80（含）-90分为良；综合得分在60（含）-80分为中；综合得分在0-60分为差。</w:t>
      </w:r>
    </w:p>
    <w:bookmarkEnd w:id="10"/>
    <w:p>
      <w:pPr>
        <w:adjustRightInd w:val="0"/>
        <w:snapToGrid w:val="0"/>
        <w:spacing w:line="560" w:lineRule="exact"/>
        <w:ind w:firstLine="640" w:firstLineChars="200"/>
        <w:outlineLvl w:val="1"/>
        <w:rPr>
          <w:rFonts w:ascii="Times New Roman" w:hAnsi="Times New Roman" w:eastAsia="楷体"/>
          <w:caps/>
          <w:sz w:val="32"/>
          <w:szCs w:val="32"/>
          <w:highlight w:val="none"/>
        </w:rPr>
      </w:pPr>
      <w:bookmarkStart w:id="16" w:name="_Toc2223"/>
      <w:r>
        <w:rPr>
          <w:rFonts w:hint="eastAsia" w:ascii="Times New Roman" w:hAnsi="Times New Roman" w:eastAsia="楷体"/>
          <w:caps/>
          <w:sz w:val="32"/>
          <w:szCs w:val="32"/>
          <w:highlight w:val="none"/>
        </w:rPr>
        <w:t>（三）绩效评价过程</w:t>
      </w:r>
      <w:bookmarkEnd w:id="16"/>
    </w:p>
    <w:p>
      <w:pPr>
        <w:tabs>
          <w:tab w:val="left" w:pos="4065"/>
        </w:tabs>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hAnsi="Times New Roman" w:eastAsia="仿宋_GB2312"/>
          <w:kern w:val="0"/>
          <w:sz w:val="32"/>
          <w:szCs w:val="32"/>
          <w:highlight w:val="none"/>
          <w:lang w:bidi="zh-CN"/>
        </w:rPr>
        <w:t>1.</w:t>
      </w:r>
      <w:r>
        <w:rPr>
          <w:rFonts w:hint="eastAsia" w:ascii="仿宋_GB2312" w:hAnsi="Times New Roman" w:eastAsia="仿宋_GB2312"/>
          <w:kern w:val="0"/>
          <w:sz w:val="32"/>
          <w:szCs w:val="32"/>
          <w:highlight w:val="none"/>
          <w:lang w:bidi="zh-CN"/>
        </w:rPr>
        <w:t>前期准备</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组建评价工作组，制定工作方案与模板。根据委托方要求及项目主要内容特点，评价机构组建评价工作组，明确任务分工。通过与委托方沟通、网上查阅资料、咨询专家等，评价工作组在初步了解项目情况的基础上，制定科学合理的绩效评价工作方案，初步设计绩效评价指标体系，明确评价思路、评价重点、调研安排、工作流程等内容，并制定资料清单等模板。</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开展培训启动会，收集项目资料。</w:t>
      </w:r>
      <w:r>
        <w:rPr>
          <w:rFonts w:ascii="仿宋_GB2312" w:hAnsi="Times New Roman" w:eastAsia="仿宋_GB2312"/>
          <w:kern w:val="0"/>
          <w:sz w:val="32"/>
          <w:szCs w:val="32"/>
          <w:highlight w:val="none"/>
          <w:lang w:bidi="zh-CN"/>
        </w:rPr>
        <w:t>202</w:t>
      </w:r>
      <w:r>
        <w:rPr>
          <w:rFonts w:hint="eastAsia" w:ascii="仿宋_GB2312" w:hAnsi="Times New Roman" w:eastAsia="仿宋_GB2312"/>
          <w:kern w:val="0"/>
          <w:sz w:val="32"/>
          <w:szCs w:val="32"/>
          <w:highlight w:val="none"/>
          <w:lang w:bidi="zh-CN"/>
        </w:rPr>
        <w:t>5年</w:t>
      </w:r>
      <w:r>
        <w:rPr>
          <w:rFonts w:ascii="仿宋_GB2312" w:hAnsi="Times New Roman" w:eastAsia="仿宋_GB2312"/>
          <w:kern w:val="0"/>
          <w:sz w:val="32"/>
          <w:szCs w:val="32"/>
          <w:highlight w:val="none"/>
          <w:lang w:bidi="zh-CN"/>
        </w:rPr>
        <w:t>4</w:t>
      </w:r>
      <w:r>
        <w:rPr>
          <w:rFonts w:hint="eastAsia" w:ascii="仿宋_GB2312" w:hAnsi="Times New Roman" w:eastAsia="仿宋_GB2312"/>
          <w:kern w:val="0"/>
          <w:sz w:val="32"/>
          <w:szCs w:val="32"/>
          <w:highlight w:val="none"/>
          <w:lang w:bidi="zh-CN"/>
        </w:rPr>
        <w:t>月初，评价工作组配合委托方组织开展绩效评价相关培训及对接，明确评价任务、时间安排及需项目单位配合的工作等事项，要求项目单位按时提交评价资料及绩效自评报告，并根据工作组的意见进一步补充、完善。</w:t>
      </w:r>
    </w:p>
    <w:p>
      <w:pPr>
        <w:tabs>
          <w:tab w:val="left" w:pos="4065"/>
        </w:tabs>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w:t>
      </w:r>
      <w:r>
        <w:rPr>
          <w:rFonts w:ascii="仿宋_GB2312" w:eastAsia="仿宋_GB2312"/>
          <w:sz w:val="32"/>
          <w:szCs w:val="32"/>
          <w:highlight w:val="none"/>
        </w:rPr>
        <w:t>.</w:t>
      </w:r>
      <w:r>
        <w:rPr>
          <w:rFonts w:hint="eastAsia" w:ascii="仿宋_GB2312" w:eastAsia="仿宋_GB2312"/>
          <w:sz w:val="32"/>
          <w:szCs w:val="32"/>
          <w:highlight w:val="none"/>
        </w:rPr>
        <w:t>组织实施</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整理、分析资料。评价工作组对所收集资料进行整理、分析，就有关问题与项目单位核实，并进一步细化评价指标体系，形成项目中期情况说明及初步结论。</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专家评价会。评价工作组就项目情况与专家进行充分沟通，于4月下旬召开专家评价会，专家针对项目执行情况进行质询，结合项目单位回应情况，专家进行打分、出具评价意见与结论。</w:t>
      </w:r>
    </w:p>
    <w:p>
      <w:pPr>
        <w:tabs>
          <w:tab w:val="left" w:pos="4065"/>
        </w:tabs>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3</w:t>
      </w:r>
      <w:r>
        <w:rPr>
          <w:rFonts w:ascii="仿宋_GB2312" w:eastAsia="仿宋_GB2312"/>
          <w:sz w:val="32"/>
          <w:szCs w:val="32"/>
          <w:highlight w:val="none"/>
        </w:rPr>
        <w:t>.</w:t>
      </w:r>
      <w:r>
        <w:rPr>
          <w:rFonts w:hint="eastAsia" w:ascii="仿宋_GB2312" w:eastAsia="仿宋_GB2312"/>
          <w:sz w:val="32"/>
          <w:szCs w:val="32"/>
          <w:highlight w:val="none"/>
        </w:rPr>
        <w:t>分析总结</w:t>
      </w:r>
    </w:p>
    <w:p>
      <w:pPr>
        <w:adjustRightInd w:val="0"/>
        <w:snapToGrid w:val="0"/>
        <w:spacing w:line="560" w:lineRule="exact"/>
        <w:ind w:firstLine="640" w:firstLineChars="200"/>
        <w:rPr>
          <w:rFonts w:ascii="仿宋_GB2312" w:hAnsi="Times New Roman" w:eastAsia="仿宋_GB2312"/>
          <w:kern w:val="0"/>
          <w:sz w:val="32"/>
          <w:szCs w:val="32"/>
          <w:highlight w:val="none"/>
          <w:lang w:bidi="zh-CN"/>
        </w:rPr>
      </w:pPr>
      <w:r>
        <w:rPr>
          <w:rFonts w:hint="eastAsia" w:ascii="仿宋_GB2312" w:hAnsi="Times New Roman" w:eastAsia="仿宋_GB2312"/>
          <w:kern w:val="0"/>
          <w:sz w:val="32"/>
          <w:szCs w:val="32"/>
          <w:highlight w:val="none"/>
          <w:lang w:bidi="zh-CN"/>
        </w:rPr>
        <w:t>评价工作组根据收集到的资料及专家评价意见，对项目决策、过程、产出和效益情况进行综合分析，形成评价结论，撰写评价报告。在经内部三级审核的基础上，评价机构提交绩效评价报告初稿并征求委托方、项目单位意见，根据反馈意见进行修改，形成正式绩效评价报告。</w:t>
      </w:r>
    </w:p>
    <w:bookmarkEnd w:id="8"/>
    <w:p>
      <w:pPr>
        <w:adjustRightInd w:val="0"/>
        <w:snapToGrid w:val="0"/>
        <w:spacing w:line="560" w:lineRule="exact"/>
        <w:ind w:firstLine="640" w:firstLineChars="200"/>
        <w:outlineLvl w:val="0"/>
        <w:rPr>
          <w:rFonts w:ascii="Times New Roman" w:hAnsi="Times New Roman" w:eastAsia="黑体"/>
          <w:bCs/>
          <w:caps/>
          <w:sz w:val="32"/>
          <w:szCs w:val="32"/>
          <w:highlight w:val="none"/>
        </w:rPr>
      </w:pPr>
      <w:bookmarkStart w:id="17" w:name="_Toc22144"/>
      <w:bookmarkStart w:id="18" w:name="_Toc31959"/>
      <w:r>
        <w:rPr>
          <w:rFonts w:ascii="Times New Roman" w:hAnsi="Times New Roman" w:eastAsia="黑体"/>
          <w:bCs/>
          <w:caps/>
          <w:sz w:val="32"/>
          <w:szCs w:val="32"/>
          <w:highlight w:val="none"/>
        </w:rPr>
        <w:t>三、综合评价结论</w:t>
      </w:r>
      <w:bookmarkEnd w:id="17"/>
      <w:bookmarkEnd w:id="18"/>
    </w:p>
    <w:p>
      <w:pPr>
        <w:adjustRightInd w:val="0"/>
        <w:snapToGrid w:val="0"/>
        <w:spacing w:line="560" w:lineRule="exact"/>
        <w:ind w:firstLine="640" w:firstLineChars="200"/>
        <w:rPr>
          <w:rFonts w:ascii="仿宋_GB2312" w:hAnsi="Times New Roman" w:eastAsia="仿宋_GB2312"/>
          <w:sz w:val="32"/>
          <w:szCs w:val="32"/>
          <w:highlight w:val="none"/>
        </w:rPr>
      </w:pPr>
      <w:bookmarkStart w:id="19" w:name="_Hlk130128452"/>
      <w:r>
        <w:rPr>
          <w:rFonts w:hint="eastAsia" w:ascii="仿宋_GB2312" w:hAnsi="宋体" w:eastAsia="仿宋_GB2312" w:cs="宋体"/>
          <w:iCs/>
          <w:color w:val="000000"/>
          <w:kern w:val="0"/>
          <w:sz w:val="32"/>
          <w:szCs w:val="32"/>
          <w:highlight w:val="none"/>
        </w:rPr>
        <w:t>社会数据统采共用项目通过单一来源采购及公开招标等方式分别确定运营商数据及互联网数据的具体供应单位。</w:t>
      </w:r>
      <w:r>
        <w:rPr>
          <w:rFonts w:ascii="仿宋_GB2312" w:hAnsi="宋体" w:eastAsia="仿宋_GB2312" w:cs="宋体"/>
          <w:iCs/>
          <w:color w:val="000000"/>
          <w:kern w:val="0"/>
          <w:sz w:val="32"/>
          <w:szCs w:val="32"/>
          <w:highlight w:val="none"/>
        </w:rPr>
        <w:t>截至202</w:t>
      </w:r>
      <w:r>
        <w:rPr>
          <w:rFonts w:hint="eastAsia" w:ascii="仿宋_GB2312" w:hAnsi="宋体" w:eastAsia="仿宋_GB2312" w:cs="宋体"/>
          <w:iCs/>
          <w:color w:val="000000"/>
          <w:kern w:val="0"/>
          <w:sz w:val="32"/>
          <w:szCs w:val="32"/>
          <w:highlight w:val="none"/>
        </w:rPr>
        <w:t>5</w:t>
      </w:r>
      <w:r>
        <w:rPr>
          <w:rFonts w:ascii="仿宋_GB2312" w:hAnsi="宋体" w:eastAsia="仿宋_GB2312" w:cs="宋体"/>
          <w:iCs/>
          <w:color w:val="000000"/>
          <w:kern w:val="0"/>
          <w:sz w:val="32"/>
          <w:szCs w:val="32"/>
          <w:highlight w:val="none"/>
        </w:rPr>
        <w:t>年</w:t>
      </w:r>
      <w:r>
        <w:rPr>
          <w:rFonts w:hint="eastAsia" w:ascii="仿宋_GB2312" w:hAnsi="宋体" w:eastAsia="仿宋_GB2312" w:cs="宋体"/>
          <w:iCs/>
          <w:color w:val="000000"/>
          <w:kern w:val="0"/>
          <w:sz w:val="32"/>
          <w:szCs w:val="32"/>
          <w:highlight w:val="none"/>
        </w:rPr>
        <w:t>4</w:t>
      </w:r>
      <w:r>
        <w:rPr>
          <w:rFonts w:ascii="仿宋_GB2312" w:hAnsi="宋体" w:eastAsia="仿宋_GB2312" w:cs="宋体"/>
          <w:iCs/>
          <w:color w:val="000000"/>
          <w:kern w:val="0"/>
          <w:sz w:val="32"/>
          <w:szCs w:val="32"/>
          <w:highlight w:val="none"/>
        </w:rPr>
        <w:t>月底，</w:t>
      </w:r>
      <w:r>
        <w:rPr>
          <w:rFonts w:hint="eastAsia" w:ascii="仿宋_GB2312" w:eastAsia="仿宋_GB2312"/>
          <w:iCs/>
          <w:sz w:val="32"/>
          <w:szCs w:val="32"/>
          <w:highlight w:val="none"/>
        </w:rPr>
        <w:t>数据应用环境服务、数据源基础处理服务、业务场景数据服务、专题数据服务及互联网数据支撑服务等计划开展内容均已完成，在保障社会数据共享及应用范围、推动社会数据应用效率及服务能力提升等方面取得了较好的效果。但该项目存在“项目需求调研充分性及预算编制精准性有待进一步提升，项目管理精细化水平有进一步改进空间、针对统采社会数据与单位自采数据间的管控措施呈现不足，项目效益发挥仍需持续追踪、满意度调查工作可进一步强化”等问题。项目</w:t>
      </w:r>
      <w:r>
        <w:rPr>
          <w:rFonts w:ascii="仿宋_GB2312" w:hAnsi="宋体" w:eastAsia="仿宋_GB2312" w:cs="宋体"/>
          <w:iCs/>
          <w:color w:val="000000"/>
          <w:kern w:val="0"/>
          <w:sz w:val="32"/>
          <w:szCs w:val="32"/>
          <w:highlight w:val="none"/>
        </w:rPr>
        <w:t>综合评价</w:t>
      </w:r>
      <w:r>
        <w:rPr>
          <w:rFonts w:ascii="仿宋_GB2312" w:hAnsi="Times New Roman" w:eastAsia="仿宋_GB2312"/>
          <w:sz w:val="32"/>
          <w:szCs w:val="32"/>
          <w:highlight w:val="none"/>
        </w:rPr>
        <w:t>得分9</w:t>
      </w:r>
      <w:r>
        <w:rPr>
          <w:rFonts w:hint="eastAsia" w:ascii="仿宋_GB2312" w:hAnsi="Times New Roman" w:eastAsia="仿宋_GB2312"/>
          <w:sz w:val="32"/>
          <w:szCs w:val="32"/>
          <w:highlight w:val="none"/>
        </w:rPr>
        <w:t>0</w:t>
      </w:r>
      <w:r>
        <w:rPr>
          <w:rFonts w:ascii="仿宋_GB2312" w:hAnsi="Times New Roman" w:eastAsia="仿宋_GB2312"/>
          <w:sz w:val="32"/>
          <w:szCs w:val="32"/>
          <w:highlight w:val="none"/>
        </w:rPr>
        <w:t>.</w:t>
      </w:r>
      <w:r>
        <w:rPr>
          <w:rFonts w:hint="eastAsia" w:ascii="仿宋_GB2312" w:hAnsi="Times New Roman" w:eastAsia="仿宋_GB2312"/>
          <w:sz w:val="32"/>
          <w:szCs w:val="32"/>
          <w:highlight w:val="none"/>
        </w:rPr>
        <w:t>20</w:t>
      </w:r>
      <w:r>
        <w:rPr>
          <w:rFonts w:ascii="仿宋_GB2312" w:hAnsi="Times New Roman" w:eastAsia="仿宋_GB2312"/>
          <w:sz w:val="32"/>
          <w:szCs w:val="32"/>
          <w:highlight w:val="none"/>
        </w:rPr>
        <w:t>分，评价等级为</w:t>
      </w:r>
      <w:r>
        <w:rPr>
          <w:rFonts w:hint="eastAsia" w:ascii="仿宋_GB2312" w:hAnsi="Times New Roman" w:eastAsia="仿宋_GB2312"/>
          <w:sz w:val="32"/>
          <w:szCs w:val="32"/>
          <w:highlight w:val="none"/>
        </w:rPr>
        <w:t>“优”，</w:t>
      </w:r>
      <w:r>
        <w:rPr>
          <w:rFonts w:ascii="仿宋_GB2312" w:hAnsi="Times New Roman" w:eastAsia="仿宋_GB2312"/>
          <w:sz w:val="32"/>
          <w:szCs w:val="32"/>
          <w:highlight w:val="none"/>
        </w:rPr>
        <w:t>具体得分情况见表</w:t>
      </w:r>
      <w:r>
        <w:rPr>
          <w:rFonts w:hint="eastAsia" w:ascii="仿宋_GB2312" w:hAnsi="Times New Roman" w:eastAsia="仿宋_GB2312"/>
          <w:sz w:val="32"/>
          <w:szCs w:val="32"/>
          <w:highlight w:val="none"/>
        </w:rPr>
        <w:t>2。</w:t>
      </w:r>
    </w:p>
    <w:p>
      <w:pPr>
        <w:snapToGrid w:val="0"/>
        <w:spacing w:line="560" w:lineRule="exact"/>
        <w:jc w:val="center"/>
        <w:rPr>
          <w:rFonts w:hint="eastAsia" w:ascii="黑体" w:hAnsi="黑体" w:eastAsia="黑体"/>
          <w:sz w:val="24"/>
          <w:szCs w:val="32"/>
          <w:highlight w:val="none"/>
        </w:rPr>
      </w:pPr>
      <w:r>
        <w:rPr>
          <w:rFonts w:hint="eastAsia" w:ascii="黑体" w:hAnsi="黑体" w:eastAsia="黑体"/>
          <w:sz w:val="28"/>
          <w:szCs w:val="28"/>
          <w:highlight w:val="none"/>
        </w:rPr>
        <w:t>表2：综合评价得分情况表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2034"/>
        <w:gridCol w:w="2093"/>
        <w:gridCol w:w="2034"/>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tblHeader/>
          <w:jc w:val="center"/>
        </w:trPr>
        <w:tc>
          <w:tcPr>
            <w:tcW w:w="12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一级指标</w:t>
            </w:r>
          </w:p>
        </w:tc>
        <w:tc>
          <w:tcPr>
            <w:tcW w:w="1251"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分值</w:t>
            </w:r>
          </w:p>
        </w:tc>
        <w:tc>
          <w:tcPr>
            <w:tcW w:w="12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得分</w:t>
            </w:r>
          </w:p>
        </w:tc>
        <w:tc>
          <w:tcPr>
            <w:tcW w:w="13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决策</w:t>
            </w:r>
          </w:p>
        </w:tc>
        <w:tc>
          <w:tcPr>
            <w:tcW w:w="1251"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10</w:t>
            </w:r>
          </w:p>
        </w:tc>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8.50</w:t>
            </w:r>
          </w:p>
        </w:tc>
        <w:tc>
          <w:tcPr>
            <w:tcW w:w="13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85.00</w:t>
            </w:r>
            <w:r>
              <w:rPr>
                <w:rFonts w:ascii="宋体" w:hAnsi="宋体" w:eastAsia="宋体" w:cs="宋体"/>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过程</w:t>
            </w:r>
          </w:p>
        </w:tc>
        <w:tc>
          <w:tcPr>
            <w:tcW w:w="1251"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20</w:t>
            </w:r>
          </w:p>
        </w:tc>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17.50</w:t>
            </w:r>
          </w:p>
        </w:tc>
        <w:tc>
          <w:tcPr>
            <w:tcW w:w="13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87.50</w:t>
            </w:r>
            <w:r>
              <w:rPr>
                <w:rFonts w:ascii="宋体" w:hAnsi="宋体" w:eastAsia="宋体" w:cs="宋体"/>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产出</w:t>
            </w:r>
          </w:p>
        </w:tc>
        <w:tc>
          <w:tcPr>
            <w:tcW w:w="1251"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40</w:t>
            </w:r>
          </w:p>
        </w:tc>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38.00</w:t>
            </w:r>
          </w:p>
        </w:tc>
        <w:tc>
          <w:tcPr>
            <w:tcW w:w="13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95.00</w:t>
            </w:r>
            <w:r>
              <w:rPr>
                <w:rFonts w:ascii="宋体" w:hAnsi="宋体" w:eastAsia="宋体" w:cs="宋体"/>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效益</w:t>
            </w:r>
          </w:p>
        </w:tc>
        <w:tc>
          <w:tcPr>
            <w:tcW w:w="1251"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30</w:t>
            </w:r>
          </w:p>
        </w:tc>
        <w:tc>
          <w:tcPr>
            <w:tcW w:w="12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26.20</w:t>
            </w:r>
          </w:p>
        </w:tc>
        <w:tc>
          <w:tcPr>
            <w:tcW w:w="1316" w:type="pct"/>
            <w:vAlign w:val="center"/>
          </w:tcPr>
          <w:p>
            <w:pPr>
              <w:widowControl/>
              <w:adjustRightInd w:val="0"/>
              <w:snapToGrid w:val="0"/>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87.33</w:t>
            </w:r>
            <w:r>
              <w:rPr>
                <w:rFonts w:ascii="宋体" w:hAnsi="宋体" w:eastAsia="宋体" w:cs="宋体"/>
                <w:kern w:val="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7" w:hRule="atLeast"/>
          <w:jc w:val="center"/>
        </w:trPr>
        <w:tc>
          <w:tcPr>
            <w:tcW w:w="12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合　计</w:t>
            </w:r>
          </w:p>
        </w:tc>
        <w:tc>
          <w:tcPr>
            <w:tcW w:w="1251"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ascii="宋体" w:hAnsi="宋体" w:eastAsia="宋体" w:cs="宋体"/>
                <w:b/>
                <w:bCs/>
                <w:kern w:val="0"/>
                <w:sz w:val="20"/>
                <w:szCs w:val="20"/>
                <w:highlight w:val="none"/>
              </w:rPr>
              <w:t>100</w:t>
            </w:r>
          </w:p>
        </w:tc>
        <w:tc>
          <w:tcPr>
            <w:tcW w:w="12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90.20</w:t>
            </w:r>
          </w:p>
        </w:tc>
        <w:tc>
          <w:tcPr>
            <w:tcW w:w="1316" w:type="pct"/>
            <w:vAlign w:val="center"/>
          </w:tcPr>
          <w:p>
            <w:pPr>
              <w:widowControl/>
              <w:adjustRightInd w:val="0"/>
              <w:snapToGrid w:val="0"/>
              <w:jc w:val="center"/>
              <w:rPr>
                <w:rFonts w:hint="eastAsia" w:ascii="宋体" w:hAnsi="宋体" w:eastAsia="宋体" w:cs="宋体"/>
                <w:b/>
                <w:bCs/>
                <w:kern w:val="0"/>
                <w:sz w:val="20"/>
                <w:szCs w:val="20"/>
                <w:highlight w:val="none"/>
              </w:rPr>
            </w:pPr>
            <w:r>
              <w:rPr>
                <w:rFonts w:hint="eastAsia" w:ascii="宋体" w:hAnsi="宋体" w:eastAsia="宋体" w:cs="宋体"/>
                <w:b/>
                <w:bCs/>
                <w:kern w:val="0"/>
                <w:sz w:val="20"/>
                <w:szCs w:val="20"/>
                <w:highlight w:val="none"/>
              </w:rPr>
              <w:t>90.20</w:t>
            </w:r>
            <w:r>
              <w:rPr>
                <w:rFonts w:ascii="宋体" w:hAnsi="宋体" w:eastAsia="宋体" w:cs="宋体"/>
                <w:b/>
                <w:bCs/>
                <w:kern w:val="0"/>
                <w:sz w:val="20"/>
                <w:szCs w:val="20"/>
                <w:highlight w:val="none"/>
              </w:rPr>
              <w:t>%</w:t>
            </w:r>
          </w:p>
        </w:tc>
      </w:tr>
      <w:bookmarkEnd w:id="19"/>
    </w:tbl>
    <w:p>
      <w:pPr>
        <w:spacing w:line="560" w:lineRule="exact"/>
        <w:rPr>
          <w:rFonts w:hint="eastAsia" w:ascii="宋体" w:hAnsi="宋体" w:eastAsia="宋体"/>
          <w:sz w:val="20"/>
          <w:szCs w:val="20"/>
          <w:highlight w:val="none"/>
        </w:rPr>
      </w:pPr>
    </w:p>
    <w:p>
      <w:pPr>
        <w:adjustRightInd w:val="0"/>
        <w:snapToGrid w:val="0"/>
        <w:spacing w:line="560" w:lineRule="exact"/>
        <w:ind w:firstLine="640" w:firstLineChars="200"/>
        <w:outlineLvl w:val="0"/>
        <w:rPr>
          <w:rFonts w:hint="eastAsia" w:ascii="黑体" w:eastAsia="黑体"/>
          <w:sz w:val="32"/>
          <w:szCs w:val="32"/>
          <w:highlight w:val="none"/>
        </w:rPr>
      </w:pPr>
      <w:bookmarkStart w:id="20" w:name="_Toc35588777"/>
      <w:bookmarkStart w:id="21" w:name="_Toc11756"/>
      <w:bookmarkStart w:id="22" w:name="_Toc35588409"/>
      <w:bookmarkStart w:id="23" w:name="_Toc10554"/>
      <w:r>
        <w:rPr>
          <w:rFonts w:hint="eastAsia" w:ascii="黑体" w:eastAsia="黑体"/>
          <w:sz w:val="32"/>
          <w:szCs w:val="32"/>
          <w:highlight w:val="none"/>
        </w:rPr>
        <w:t>四、绩效评价指标分析</w:t>
      </w:r>
      <w:bookmarkEnd w:id="20"/>
      <w:bookmarkEnd w:id="21"/>
      <w:bookmarkEnd w:id="22"/>
    </w:p>
    <w:p>
      <w:pPr>
        <w:adjustRightInd w:val="0"/>
        <w:snapToGrid w:val="0"/>
        <w:spacing w:line="560" w:lineRule="exact"/>
        <w:ind w:firstLine="640" w:firstLineChars="200"/>
        <w:outlineLvl w:val="1"/>
        <w:rPr>
          <w:rFonts w:hint="eastAsia" w:ascii="楷体_GB2312" w:eastAsia="楷体_GB2312"/>
          <w:sz w:val="32"/>
          <w:szCs w:val="32"/>
          <w:highlight w:val="none"/>
        </w:rPr>
      </w:pPr>
      <w:bookmarkStart w:id="24" w:name="_Toc32512"/>
      <w:bookmarkStart w:id="25" w:name="_Toc35588410"/>
      <w:bookmarkStart w:id="26" w:name="_Toc35588778"/>
      <w:r>
        <w:rPr>
          <w:rFonts w:hint="eastAsia" w:ascii="楷体_GB2312" w:eastAsia="楷体_GB2312"/>
          <w:sz w:val="32"/>
          <w:szCs w:val="32"/>
          <w:highlight w:val="none"/>
        </w:rPr>
        <w:t>（一）项目决策情况</w:t>
      </w:r>
      <w:bookmarkEnd w:id="2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sz w:val="32"/>
          <w:szCs w:val="32"/>
          <w:highlight w:val="none"/>
        </w:rPr>
      </w:pPr>
      <w:bookmarkStart w:id="27" w:name="_Hlk130147845"/>
      <w:r>
        <w:rPr>
          <w:rFonts w:hint="eastAsia" w:ascii="仿宋_GB2312" w:eastAsia="仿宋_GB2312"/>
          <w:iCs/>
          <w:sz w:val="32"/>
          <w:szCs w:val="32"/>
          <w:highlight w:val="none"/>
        </w:rPr>
        <w:t>项目立项依据总体充分，符合中央、北京市有关政策文件要求，与部门及单位职能职责相符。项目立项程序较为规范，经过了必要的集体决策，立项材料符合相关要求，绩效目标设置较为合理，但存在个别绩效指标设置不够明确、预算编制精准性有待提升、资金分配依据有待进一步夯实等问题。</w:t>
      </w:r>
      <w:r>
        <w:rPr>
          <w:rFonts w:hint="eastAsia" w:ascii="仿宋_GB2312" w:eastAsia="仿宋_GB2312"/>
          <w:sz w:val="32"/>
          <w:szCs w:val="32"/>
          <w:highlight w:val="none"/>
        </w:rPr>
        <w:t>该指标分值10分，得分8.50分，得分率85.00%。</w:t>
      </w:r>
      <w:bookmarkEnd w:id="27"/>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1.项目立项</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（1）立项依据充分性</w:t>
      </w:r>
    </w:p>
    <w:p>
      <w:pPr>
        <w:spacing w:line="560" w:lineRule="exact"/>
        <w:ind w:firstLine="640" w:firstLineChars="200"/>
        <w:rPr>
          <w:rFonts w:hint="eastAsia" w:ascii="仿宋_GB2312" w:hAnsi="宋体" w:eastAsia="仿宋_GB2312"/>
          <w:kern w:val="0"/>
          <w:sz w:val="32"/>
          <w:szCs w:val="32"/>
          <w:highlight w:val="none"/>
        </w:rPr>
      </w:pPr>
      <w:bookmarkStart w:id="28" w:name="_Hlk130132679"/>
      <w:r>
        <w:rPr>
          <w:rFonts w:hint="eastAsia" w:ascii="仿宋_GB2312" w:hAnsi="宋体" w:eastAsia="仿宋_GB2312"/>
          <w:kern w:val="0"/>
          <w:sz w:val="32"/>
          <w:szCs w:val="32"/>
          <w:highlight w:val="none"/>
        </w:rPr>
        <w:t>项目立项符合市委市政府关于北京市大数据行动计划的工作部署</w:t>
      </w:r>
      <w:r>
        <w:rPr>
          <w:rFonts w:hint="eastAsia" w:ascii="仿宋_GB2312" w:hAnsi="宋体" w:eastAsia="仿宋_GB2312"/>
          <w:kern w:val="0"/>
          <w:sz w:val="32"/>
          <w:szCs w:val="32"/>
          <w:highlight w:val="none"/>
          <w:lang w:val="en-US" w:eastAsia="zh-CN"/>
        </w:rPr>
        <w:t>及相应政策要求</w:t>
      </w:r>
      <w:r>
        <w:rPr>
          <w:rFonts w:hint="eastAsia" w:ascii="仿宋_GB2312" w:hAnsi="宋体" w:eastAsia="仿宋_GB2312"/>
          <w:kern w:val="0"/>
          <w:sz w:val="32"/>
          <w:szCs w:val="32"/>
          <w:highlight w:val="none"/>
        </w:rPr>
        <w:t>。2018年，北京市大数据工作推进小组发布了《北京大数据行动计划工作方案》，明确提出探索社会数据统采共用模式，次年与19家社会机构签署了数据合作框架协议。2021年以来，《关于加强数字政府建设的指导意见》（国发〔2022〕14号）、《北京市“十四五”时期智慧城市发展行动纲要》（京大数据发〔2021〕1号）、《北京市数字经济促进条例》（北京市人民代表大会常务委员会公告〔十五届〕第89号）、《关于更好发挥数据要素作用进一步加快发展数字经济的实施意见》、《北京市2023年智慧城市建设重点工作任务》（京大数据办发〔2023〕2号）、《北京市2024年政务服务和数据管理工作要点》等多项文件进一步对社会数据统采共用提出明确要求。项目立项与国家、北京市有关政策文件相关性较强。</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市大数据中心具有“负责公共数据和相关社会数据的汇聚、清洗、共享、开放、应用和评估工作”的职责，项目立项属于市大数据中心履职所需，本项目能够有效促进和提升社会数据资源的边际价值利用。项目的实施有助于为相关部门提供数据共享服务、按需为全市重点应用场景提供数据支撑、促进政企数据融合，“统采”范围内的数据各部门不再重复采购、有效减少政府财政支出，属于公共财政支持范围，与相关部门同类项目或部门内部相关项目不重复，项目立项依据总体充分。</w:t>
      </w:r>
    </w:p>
    <w:bookmarkEnd w:id="28"/>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（2）立项程序规范性</w:t>
      </w:r>
    </w:p>
    <w:p>
      <w:pPr>
        <w:adjustRightInd w:val="0"/>
        <w:snapToGrid w:val="0"/>
        <w:spacing w:line="560" w:lineRule="exact"/>
        <w:ind w:firstLine="640" w:firstLineChars="200"/>
        <w:rPr>
          <w:rFonts w:hint="eastAsia" w:ascii="仿宋_GB2312" w:eastAsia="仿宋_GB2312"/>
          <w:sz w:val="32"/>
          <w:szCs w:val="32"/>
          <w:highlight w:val="none"/>
        </w:rPr>
      </w:pPr>
      <w:bookmarkStart w:id="29" w:name="_Hlk130131142"/>
      <w:r>
        <w:rPr>
          <w:rFonts w:hint="eastAsia" w:ascii="仿宋_GB2312" w:eastAsia="仿宋_GB2312"/>
          <w:sz w:val="32"/>
          <w:szCs w:val="32"/>
          <w:highlight w:val="none"/>
        </w:rPr>
        <w:t>根据市财政局2024年度部门预算编制要求，结合前期项目实施管理经验，市大数据中心负责项目申报立项工作，</w:t>
      </w:r>
      <w:r>
        <w:rPr>
          <w:rFonts w:hint="eastAsia" w:ascii="仿宋_GB2312" w:eastAsia="仿宋_GB2312"/>
          <w:sz w:val="32"/>
          <w:szCs w:val="32"/>
          <w:highlight w:val="none"/>
          <w:lang w:eastAsia="zh-CN"/>
        </w:rPr>
        <w:t>履行相关审批</w:t>
      </w:r>
      <w:r>
        <w:rPr>
          <w:rFonts w:hint="eastAsia" w:ascii="仿宋_GB2312" w:eastAsia="仿宋_GB2312"/>
          <w:sz w:val="32"/>
          <w:szCs w:val="32"/>
          <w:highlight w:val="none"/>
        </w:rPr>
        <w:t>程序后，由市财政局随同部门预算批复，立项审批手续完备，立项程序规范。</w:t>
      </w:r>
    </w:p>
    <w:bookmarkEnd w:id="29"/>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2.绩效目标</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（1）绩效目标合理性</w:t>
      </w:r>
    </w:p>
    <w:p>
      <w:pPr>
        <w:adjustRightInd w:val="0"/>
        <w:snapToGrid w:val="0"/>
        <w:spacing w:line="560" w:lineRule="exact"/>
        <w:ind w:firstLine="640" w:firstLineChars="200"/>
        <w:rPr>
          <w:rFonts w:hint="eastAsia" w:ascii="仿宋_GB2312" w:eastAsia="仿宋_GB2312"/>
          <w:iCs/>
          <w:sz w:val="32"/>
          <w:szCs w:val="32"/>
          <w:highlight w:val="none"/>
        </w:rPr>
      </w:pPr>
      <w:bookmarkStart w:id="30" w:name="_Hlk130125086"/>
      <w:r>
        <w:rPr>
          <w:rFonts w:hint="eastAsia" w:ascii="仿宋_GB2312" w:eastAsia="仿宋_GB2312"/>
          <w:iCs/>
          <w:sz w:val="32"/>
          <w:szCs w:val="32"/>
          <w:highlight w:val="none"/>
        </w:rPr>
        <w:t>围绕项目拟开展的内容，结合实际需求、年度重点工作等因素，项目分别设置了绩效目标，项目绩效目标与实际工作内容及资金量相匹配，体现了运营商信令数据采购及互联网企业数据采购等核心产出，针对“按需为全市重点应用场景提供数据支撑，促进政企数据融合、提高社会数据使用效率”等预期效果进行了阐述，预期产出和效果符合正常水平，对项目实施具有一定的指导性，项目预期绩效目标设定整体合理。</w:t>
      </w:r>
    </w:p>
    <w:bookmarkEnd w:id="30"/>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（2）绩效指标明确性</w:t>
      </w:r>
    </w:p>
    <w:p>
      <w:pPr>
        <w:adjustRightInd w:val="0"/>
        <w:snapToGrid w:val="0"/>
        <w:spacing w:line="560" w:lineRule="exact"/>
        <w:ind w:firstLine="640" w:firstLineChars="200"/>
        <w:rPr>
          <w:rFonts w:hint="eastAsia" w:ascii="仿宋_GB2312" w:hAnsi="黑体" w:eastAsia="仿宋_GB2312"/>
          <w:iCs/>
          <w:sz w:val="32"/>
          <w:szCs w:val="32"/>
          <w:highlight w:val="none"/>
        </w:rPr>
      </w:pPr>
      <w:r>
        <w:rPr>
          <w:rFonts w:hint="eastAsia" w:ascii="仿宋_GB2312" w:hAnsi="黑体" w:eastAsia="仿宋_GB2312"/>
          <w:iCs/>
          <w:sz w:val="32"/>
          <w:szCs w:val="32"/>
          <w:highlight w:val="none"/>
        </w:rPr>
        <w:t>项目依据设定的绩效目标，结合项目具体实施计划，将绩效目标细化分解为成本、产出数量、质量、时效及效益等具体的绩效指标，绩效指标设置较为全面、清晰、可衡量。但项目绩效指标值围绕合同期总额设置、与年度预算资金的匹配性需进一步增强，时效指标“截至2月底合同签订完成率100%”“截至4月底项目支出完成率100%”存在一定歧义，合同签订及资金支付对应的年限不够明确。</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3.资金投入</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（1）预算编制科学性</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eastAsia="仿宋_GB2312"/>
          <w:iCs/>
          <w:sz w:val="32"/>
          <w:szCs w:val="32"/>
          <w:highlight w:val="none"/>
        </w:rPr>
        <w:t>市大数据中心在分解年度任务的基础上，围绕拟采购的三家运营商的信令数据及互联网企业数据等，按照“数量/频率*价格/标准”的形式编制形成各项子活动的支出计划，项目预算编制依据较为明确，项目资金与工作任务量相匹配。但项目预算测算精准性有待进一步提升：一是项目预算编制的前期基础工作可进一步完善，需细化前期数据需求调查论证材料；二是作为延续项目，对运营商报价的依赖性较强，且不同运营商之间</w:t>
      </w:r>
      <w:r>
        <w:rPr>
          <w:rFonts w:hint="eastAsia" w:ascii="仿宋_GB2312" w:hAnsi="仿宋_GB2312" w:eastAsia="仿宋_GB2312" w:cs="仿宋_GB2312"/>
          <w:sz w:val="32"/>
          <w:szCs w:val="32"/>
          <w:highlight w:val="none"/>
        </w:rPr>
        <w:t>同类内容成本不够统一，如，专线搭建运维，</w:t>
      </w:r>
      <w:r>
        <w:rPr>
          <w:rFonts w:hint="eastAsia" w:ascii="仿宋_GB2312" w:hAnsi="仿宋_GB2312" w:eastAsia="仿宋_GB2312" w:cs="仿宋_GB2312"/>
          <w:sz w:val="32"/>
          <w:szCs w:val="32"/>
          <w:highlight w:val="none"/>
          <w:lang w:val="en-US" w:eastAsia="zh-CN"/>
        </w:rPr>
        <w:t>采购10M宽带，不同运营商价格分别为6万元、7.1万元，较采购个别运营商50M宽带、成本仅为6万元偏高。</w:t>
      </w:r>
      <w:r>
        <w:rPr>
          <w:rFonts w:hint="eastAsia" w:ascii="仿宋_GB2312" w:hAnsi="仿宋_GB2312" w:eastAsia="仿宋_GB2312" w:cs="仿宋_GB2312"/>
          <w:sz w:val="32"/>
          <w:szCs w:val="32"/>
          <w:highlight w:val="none"/>
        </w:rPr>
        <w:t>。</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（2）资金分配合理性</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eastAsia="仿宋_GB2312"/>
          <w:sz w:val="32"/>
          <w:szCs w:val="32"/>
          <w:highlight w:val="none"/>
        </w:rPr>
        <w:t>基于项目年度工作计划、资金使用需求、各分项预算测算及财政预算控制数要求，合理分配各项任务预算资金。2024年度该项目批复的预算资金主要用于运营商信令数据采购及互联网数据采购等工作，运营商信令数据采购包括数据应用环境服务、数据源基础处理服务、数据计算分析服务，互联网数据采购包括群体类、物流类、其他类数据等，各分项工作的任务量与资金分配额度较为匹配。但评价发现，</w:t>
      </w:r>
      <w:r>
        <w:rPr>
          <w:rFonts w:hint="eastAsia" w:ascii="仿宋_GB2312" w:hAnsi="仿宋_GB2312" w:eastAsia="仿宋_GB2312" w:cs="仿宋_GB2312"/>
          <w:sz w:val="32"/>
          <w:szCs w:val="32"/>
          <w:highlight w:val="none"/>
        </w:rPr>
        <w:t>三家运营商之间资金分配依据不够清晰，服务器配置资源的规格及数量确定依据不清晰。</w:t>
      </w:r>
    </w:p>
    <w:bookmarkEnd w:id="25"/>
    <w:bookmarkEnd w:id="26"/>
    <w:p>
      <w:pPr>
        <w:adjustRightInd w:val="0"/>
        <w:snapToGrid w:val="0"/>
        <w:spacing w:line="560" w:lineRule="exact"/>
        <w:ind w:firstLine="640" w:firstLineChars="200"/>
        <w:outlineLvl w:val="1"/>
        <w:rPr>
          <w:rFonts w:hint="eastAsia" w:ascii="楷体_GB2312" w:eastAsia="楷体_GB2312"/>
          <w:sz w:val="32"/>
          <w:szCs w:val="32"/>
          <w:highlight w:val="none"/>
        </w:rPr>
      </w:pPr>
      <w:bookmarkStart w:id="31" w:name="_Toc30702"/>
      <w:bookmarkStart w:id="32" w:name="_Toc35588779"/>
      <w:bookmarkStart w:id="33" w:name="_Toc35588414"/>
      <w:r>
        <w:rPr>
          <w:rFonts w:hint="eastAsia" w:ascii="楷体_GB2312" w:hAnsi="宋体" w:eastAsia="楷体_GB2312" w:cs="宋体"/>
          <w:kern w:val="0"/>
          <w:sz w:val="32"/>
          <w:szCs w:val="32"/>
          <w:highlight w:val="none"/>
        </w:rPr>
        <w:t>（二）项目过程情况</w:t>
      </w:r>
      <w:bookmarkEnd w:id="31"/>
    </w:p>
    <w:p>
      <w:pPr>
        <w:adjustRightInd w:val="0"/>
        <w:snapToGrid w:val="0"/>
        <w:spacing w:line="560" w:lineRule="exact"/>
        <w:ind w:firstLine="640" w:firstLineChars="200"/>
        <w:outlineLvl w:val="2"/>
        <w:rPr>
          <w:rFonts w:hint="eastAsia" w:ascii="仿宋_GB2312" w:eastAsia="仿宋_GB2312"/>
          <w:iCs/>
          <w:sz w:val="32"/>
          <w:szCs w:val="32"/>
          <w:highlight w:val="none"/>
        </w:rPr>
      </w:pPr>
      <w:bookmarkStart w:id="34" w:name="_Hlk130116776"/>
      <w:r>
        <w:rPr>
          <w:rFonts w:hint="eastAsia" w:ascii="仿宋_GB2312" w:eastAsia="仿宋_GB2312"/>
          <w:iCs/>
          <w:sz w:val="32"/>
          <w:szCs w:val="32"/>
          <w:highlight w:val="none"/>
        </w:rPr>
        <w:t>项目资金到位及时，能够确保项目各项工作顺利开展，截至2024年12月31日，项目预算执行率100.00%，资金使用合法合规，项目财务管理制度较为健全，</w:t>
      </w:r>
      <w:r>
        <w:rPr>
          <w:rFonts w:hint="eastAsia" w:ascii="仿宋_GB2312" w:hAnsi="Times New Roman" w:eastAsia="仿宋_GB2312"/>
          <w:sz w:val="32"/>
          <w:szCs w:val="32"/>
          <w:highlight w:val="none"/>
        </w:rPr>
        <w:t>调整程序较为完备</w:t>
      </w:r>
      <w:r>
        <w:rPr>
          <w:rFonts w:hint="eastAsia" w:ascii="仿宋_GB2312" w:eastAsia="仿宋_GB2312"/>
          <w:iCs/>
          <w:sz w:val="32"/>
          <w:szCs w:val="32"/>
          <w:highlight w:val="none"/>
        </w:rPr>
        <w:t>。但是，项目存在业务管理制度更新不够及时、第三方监管独立性不足、</w:t>
      </w:r>
      <w:r>
        <w:rPr>
          <w:rFonts w:hint="eastAsia" w:ascii="仿宋_GB2312" w:hAnsi="Times New Roman" w:eastAsia="仿宋_GB2312"/>
          <w:sz w:val="32"/>
          <w:szCs w:val="32"/>
          <w:highlight w:val="none"/>
        </w:rPr>
        <w:t>对统采社会数据与应用单位自采数据间的边界与管控措施可进一步关注等问题</w:t>
      </w:r>
      <w:r>
        <w:rPr>
          <w:rFonts w:hint="eastAsia" w:ascii="仿宋_GB2312" w:eastAsia="仿宋_GB2312"/>
          <w:iCs/>
          <w:sz w:val="32"/>
          <w:szCs w:val="32"/>
          <w:highlight w:val="none"/>
        </w:rPr>
        <w:t>。该指标分值20分，得分17.50分，得分率87.50%。</w:t>
      </w:r>
      <w:bookmarkEnd w:id="34"/>
      <w:bookmarkStart w:id="35" w:name="_Hlk130046884"/>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ascii="仿宋_GB2312" w:eastAsia="仿宋_GB2312"/>
          <w:sz w:val="32"/>
          <w:szCs w:val="32"/>
          <w:highlight w:val="none"/>
        </w:rPr>
        <w:t>1.资金管理</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（1）资金到位率、预算执行率</w:t>
      </w:r>
    </w:p>
    <w:p>
      <w:pPr>
        <w:adjustRightInd w:val="0"/>
        <w:snapToGrid w:val="0"/>
        <w:spacing w:line="560" w:lineRule="exact"/>
        <w:ind w:firstLine="640" w:firstLineChars="200"/>
        <w:rPr>
          <w:rFonts w:hint="eastAsia" w:ascii="仿宋_GB2312" w:eastAsia="仿宋_GB2312"/>
          <w:kern w:val="0"/>
          <w:sz w:val="32"/>
          <w:szCs w:val="32"/>
          <w:highlight w:val="none"/>
        </w:rPr>
      </w:pPr>
      <w:r>
        <w:rPr>
          <w:rFonts w:hint="eastAsia" w:ascii="仿宋_GB2312" w:hAnsi="宋体" w:eastAsia="仿宋_GB2312" w:cs="宋体"/>
          <w:iCs/>
          <w:kern w:val="0"/>
          <w:sz w:val="32"/>
          <w:szCs w:val="32"/>
          <w:highlight w:val="none"/>
        </w:rPr>
        <w:t>2024年度，</w:t>
      </w:r>
      <w:r>
        <w:rPr>
          <w:rFonts w:hint="eastAsia" w:ascii="仿宋_GB2312" w:eastAsia="仿宋_GB2312"/>
          <w:kern w:val="0"/>
          <w:sz w:val="32"/>
          <w:szCs w:val="32"/>
          <w:highlight w:val="none"/>
        </w:rPr>
        <w:t>该项目全年预算批复总额为</w:t>
      </w:r>
      <w:r>
        <w:rPr>
          <w:rFonts w:hint="eastAsia" w:ascii="仿宋_GB2312" w:hAnsi="宋体" w:eastAsia="仿宋_GB2312" w:cs="宋体"/>
          <w:iCs/>
          <w:kern w:val="0"/>
          <w:sz w:val="32"/>
          <w:szCs w:val="32"/>
          <w:highlight w:val="none"/>
        </w:rPr>
        <w:t>5176.85</w:t>
      </w:r>
      <w:r>
        <w:rPr>
          <w:rFonts w:hint="eastAsia" w:ascii="仿宋_GB2312" w:eastAsia="仿宋_GB2312"/>
          <w:kern w:val="0"/>
          <w:sz w:val="32"/>
          <w:szCs w:val="32"/>
          <w:highlight w:val="none"/>
        </w:rPr>
        <w:t>万元，其中，上年结转资金3350.00万元、年中追加资金1826.85万元。项目资金于</w:t>
      </w:r>
      <w:r>
        <w:rPr>
          <w:rFonts w:ascii="仿宋_GB2312" w:eastAsia="仿宋_GB2312"/>
          <w:kern w:val="0"/>
          <w:sz w:val="32"/>
          <w:szCs w:val="32"/>
          <w:highlight w:val="none"/>
        </w:rPr>
        <w:t>2023年11月23日、2024年7月29日</w:t>
      </w:r>
      <w:r>
        <w:rPr>
          <w:rFonts w:hint="eastAsia" w:ascii="仿宋_GB2312" w:hAnsi="宋体" w:eastAsia="仿宋_GB2312" w:cs="宋体"/>
          <w:iCs/>
          <w:kern w:val="0"/>
          <w:sz w:val="32"/>
          <w:szCs w:val="32"/>
          <w:highlight w:val="none"/>
        </w:rPr>
        <w:t>分别</w:t>
      </w:r>
      <w:r>
        <w:rPr>
          <w:rFonts w:hint="eastAsia" w:ascii="仿宋_GB2312" w:eastAsia="仿宋_GB2312"/>
          <w:kern w:val="0"/>
          <w:sz w:val="32"/>
          <w:szCs w:val="32"/>
          <w:highlight w:val="none"/>
        </w:rPr>
        <w:t>以追加预算的形式批复，资金到位及时，资金到位率为</w:t>
      </w:r>
      <w:r>
        <w:rPr>
          <w:rFonts w:hint="eastAsia" w:ascii="仿宋_GB2312" w:eastAsia="仿宋_GB2312"/>
          <w:sz w:val="32"/>
          <w:szCs w:val="32"/>
          <w:highlight w:val="none"/>
        </w:rPr>
        <w:t>100.00%，能够保证项目顺利开展。</w:t>
      </w:r>
    </w:p>
    <w:p>
      <w:pPr>
        <w:adjustRightInd w:val="0"/>
        <w:snapToGrid w:val="0"/>
        <w:spacing w:line="560" w:lineRule="exact"/>
        <w:ind w:firstLine="640" w:firstLineChars="200"/>
        <w:rPr>
          <w:rFonts w:hint="eastAsia" w:ascii="仿宋_GB2312" w:eastAsia="仿宋_GB2312"/>
          <w:kern w:val="0"/>
          <w:sz w:val="32"/>
          <w:szCs w:val="32"/>
          <w:highlight w:val="none"/>
        </w:rPr>
      </w:pPr>
      <w:r>
        <w:rPr>
          <w:rFonts w:hint="eastAsia" w:ascii="仿宋_GB2312" w:hAnsi="宋体" w:eastAsia="仿宋_GB2312" w:cs="宋体"/>
          <w:iCs/>
          <w:kern w:val="0"/>
          <w:sz w:val="32"/>
          <w:szCs w:val="32"/>
          <w:highlight w:val="none"/>
        </w:rPr>
        <w:t>2023年11月23日，</w:t>
      </w:r>
      <w:r>
        <w:rPr>
          <w:rFonts w:hint="eastAsia" w:ascii="仿宋_GB2312" w:eastAsia="仿宋_GB2312"/>
          <w:kern w:val="0"/>
          <w:sz w:val="32"/>
          <w:szCs w:val="32"/>
          <w:highlight w:val="none"/>
        </w:rPr>
        <w:t>社会数据统采共用项目</w:t>
      </w:r>
      <w:r>
        <w:rPr>
          <w:rFonts w:hint="eastAsia" w:ascii="仿宋_GB2312" w:eastAsia="仿宋_GB2312"/>
          <w:kern w:val="0"/>
          <w:sz w:val="32"/>
          <w:szCs w:val="32"/>
          <w:highlight w:val="none"/>
          <w:lang w:val="en-US" w:eastAsia="zh-CN"/>
        </w:rPr>
        <w:t>追加</w:t>
      </w:r>
      <w:r>
        <w:rPr>
          <w:rFonts w:hint="eastAsia" w:ascii="仿宋_GB2312" w:eastAsia="仿宋_GB2312"/>
          <w:kern w:val="0"/>
          <w:sz w:val="32"/>
          <w:szCs w:val="32"/>
          <w:highlight w:val="none"/>
        </w:rPr>
        <w:t>预算3350.00万元，经市大数据中心领导班子会审议该项目采购方案、按</w:t>
      </w:r>
      <w:r>
        <w:rPr>
          <w:rFonts w:hint="eastAsia" w:ascii="仿宋_GB2312" w:eastAsia="仿宋_GB2312"/>
          <w:kern w:val="0"/>
          <w:sz w:val="32"/>
          <w:szCs w:val="32"/>
          <w:highlight w:val="none"/>
          <w:lang w:val="en-US" w:eastAsia="zh-CN"/>
        </w:rPr>
        <w:t>相关</w:t>
      </w:r>
      <w:r>
        <w:rPr>
          <w:rFonts w:hint="eastAsia" w:ascii="仿宋_GB2312" w:eastAsia="仿宋_GB2312"/>
          <w:kern w:val="0"/>
          <w:sz w:val="32"/>
          <w:szCs w:val="32"/>
          <w:highlight w:val="none"/>
        </w:rPr>
        <w:t>要求提交预算评审材料后，该资金结转至2024年使用，拟用于2024年度新一期合同的首款费用。</w:t>
      </w:r>
    </w:p>
    <w:p>
      <w:pPr>
        <w:adjustRightInd w:val="0"/>
        <w:snapToGrid w:val="0"/>
        <w:spacing w:line="560" w:lineRule="exact"/>
        <w:ind w:firstLine="640" w:firstLineChars="200"/>
        <w:rPr>
          <w:rFonts w:hint="eastAsia" w:ascii="仿宋_GB2312" w:eastAsia="仿宋_GB2312"/>
          <w:kern w:val="0"/>
          <w:sz w:val="32"/>
          <w:szCs w:val="32"/>
          <w:highlight w:val="none"/>
        </w:rPr>
      </w:pPr>
      <w:r>
        <w:rPr>
          <w:rFonts w:hint="eastAsia" w:ascii="仿宋_GB2312" w:eastAsia="仿宋_GB2312"/>
          <w:kern w:val="0"/>
          <w:sz w:val="32"/>
          <w:szCs w:val="32"/>
          <w:highlight w:val="none"/>
        </w:rPr>
        <w:t>按照《北京市机构改革方案》，原市经济和信息化局所属市大数据中心调整为市政务和数据局所属。2024年7月29日，追加社会数据统采共用项目经费1826.85万元，拟用于2024年度新一期合同的中期款费用。</w:t>
      </w:r>
    </w:p>
    <w:p>
      <w:pPr>
        <w:adjustRightInd w:val="0"/>
        <w:snapToGrid w:val="0"/>
        <w:spacing w:line="560" w:lineRule="exact"/>
        <w:ind w:firstLine="640" w:firstLineChars="200"/>
        <w:rPr>
          <w:rFonts w:hint="eastAsia" w:ascii="仿宋_GB2312" w:eastAsia="仿宋_GB2312"/>
          <w:kern w:val="0"/>
          <w:sz w:val="32"/>
          <w:szCs w:val="32"/>
          <w:highlight w:val="none"/>
        </w:rPr>
      </w:pPr>
      <w:r>
        <w:rPr>
          <w:rFonts w:hint="eastAsia" w:ascii="仿宋_GB2312" w:eastAsia="仿宋_GB2312"/>
          <w:kern w:val="0"/>
          <w:sz w:val="32"/>
          <w:szCs w:val="32"/>
          <w:highlight w:val="none"/>
        </w:rPr>
        <w:t>截至2024年12月31日，项目实际执行资金5176.85万元，</w:t>
      </w:r>
      <w:r>
        <w:rPr>
          <w:rFonts w:hint="eastAsia" w:ascii="仿宋_GB2312" w:eastAsia="仿宋_GB2312"/>
          <w:sz w:val="32"/>
          <w:szCs w:val="32"/>
          <w:highlight w:val="none"/>
        </w:rPr>
        <w:t>分别于4月26日、11月29日完成</w:t>
      </w:r>
      <w:r>
        <w:rPr>
          <w:rFonts w:hint="eastAsia" w:ascii="仿宋_GB2312" w:eastAsia="仿宋_GB2312"/>
          <w:iCs/>
          <w:sz w:val="32"/>
          <w:szCs w:val="32"/>
          <w:highlight w:val="none"/>
        </w:rPr>
        <w:t>新一期合同首款与中期款支付，预算资金全部执行完毕</w:t>
      </w:r>
      <w:r>
        <w:rPr>
          <w:rFonts w:hint="eastAsia" w:ascii="仿宋_GB2312" w:eastAsia="仿宋_GB2312"/>
          <w:sz w:val="32"/>
          <w:szCs w:val="32"/>
          <w:highlight w:val="none"/>
        </w:rPr>
        <w:t>，预算执行率为100</w:t>
      </w:r>
      <w:r>
        <w:rPr>
          <w:rFonts w:hint="eastAsia" w:ascii="仿宋_GB2312" w:hAnsi="宋体" w:eastAsia="仿宋_GB2312" w:cs="宋体"/>
          <w:kern w:val="0"/>
          <w:sz w:val="32"/>
          <w:szCs w:val="32"/>
          <w:highlight w:val="none"/>
        </w:rPr>
        <w:t>.00</w:t>
      </w:r>
      <w:r>
        <w:rPr>
          <w:rFonts w:hint="eastAsia" w:ascii="仿宋_GB2312" w:eastAsia="仿宋_GB2312"/>
          <w:sz w:val="32"/>
          <w:szCs w:val="32"/>
          <w:highlight w:val="none"/>
        </w:rPr>
        <w:t>%。</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（2）资金使用合规性</w:t>
      </w:r>
    </w:p>
    <w:bookmarkEnd w:id="35"/>
    <w:p>
      <w:pPr>
        <w:autoSpaceDE w:val="0"/>
        <w:autoSpaceDN w:val="0"/>
        <w:adjustRightInd w:val="0"/>
        <w:snapToGrid w:val="0"/>
        <w:spacing w:line="560" w:lineRule="exact"/>
        <w:ind w:firstLine="640" w:firstLineChars="200"/>
        <w:rPr>
          <w:rFonts w:hint="eastAsia" w:ascii="仿宋_GB2312" w:eastAsia="仿宋_GB2312"/>
          <w:iCs/>
          <w:sz w:val="32"/>
          <w:szCs w:val="32"/>
          <w:highlight w:val="none"/>
        </w:rPr>
      </w:pPr>
      <w:bookmarkStart w:id="36" w:name="_Hlk130052991"/>
      <w:r>
        <w:rPr>
          <w:rFonts w:hint="eastAsia" w:ascii="仿宋_GB2312" w:eastAsia="仿宋_GB2312"/>
          <w:iCs/>
          <w:sz w:val="32"/>
          <w:szCs w:val="32"/>
          <w:highlight w:val="none"/>
        </w:rPr>
        <w:t>项目资金使用和财务管控能够依照财务制度、采购管理规定进行，保证项目资金单独核算、专款专用。资金使用符合预算批复及合同规定的用途，资金拨付符合合同约定的时间及进度，资金使用、拨付具有完整的审批程序和手续，原始凭证及附件真实、规范、完整，项目资金使用合法合规。</w:t>
      </w:r>
    </w:p>
    <w:p>
      <w:pPr>
        <w:autoSpaceDE w:val="0"/>
        <w:autoSpaceDN w:val="0"/>
        <w:adjustRightInd w:val="0"/>
        <w:snapToGrid w:val="0"/>
        <w:spacing w:line="560" w:lineRule="exact"/>
        <w:ind w:firstLine="640" w:firstLineChars="200"/>
        <w:outlineLvl w:val="2"/>
        <w:rPr>
          <w:rFonts w:hint="eastAsia" w:ascii="仿宋_GB2312" w:hAnsi="宋体" w:eastAsia="仿宋_GB2312" w:cs="宋体"/>
          <w:iCs/>
          <w:color w:val="000000"/>
          <w:kern w:val="0"/>
          <w:sz w:val="32"/>
          <w:szCs w:val="32"/>
          <w:highlight w:val="none"/>
        </w:rPr>
      </w:pPr>
      <w:r>
        <w:rPr>
          <w:rFonts w:hint="eastAsia" w:ascii="仿宋_GB2312" w:hAnsi="宋体" w:eastAsia="仿宋_GB2312" w:cs="宋体"/>
          <w:iCs/>
          <w:color w:val="000000"/>
          <w:kern w:val="0"/>
          <w:sz w:val="32"/>
          <w:szCs w:val="32"/>
          <w:highlight w:val="none"/>
        </w:rPr>
        <w:t>2.组织实施</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（1）管理制度健全性</w:t>
      </w:r>
    </w:p>
    <w:p>
      <w:pPr>
        <w:adjustRightInd w:val="0"/>
        <w:snapToGrid w:val="0"/>
        <w:spacing w:line="560" w:lineRule="exact"/>
        <w:ind w:firstLine="640" w:firstLineChars="200"/>
        <w:rPr>
          <w:rFonts w:hint="eastAsia" w:ascii="仿宋_GB2312" w:hAnsi="宋体" w:eastAsia="仿宋_GB2312" w:cs="宋体"/>
          <w:bCs/>
          <w:kern w:val="0"/>
          <w:sz w:val="32"/>
          <w:szCs w:val="32"/>
          <w:highlight w:val="none"/>
        </w:rPr>
      </w:pPr>
      <w:r>
        <w:rPr>
          <w:rFonts w:hint="eastAsia" w:ascii="仿宋_GB2312" w:hAnsi="宋体" w:eastAsia="仿宋_GB2312" w:cs="宋体"/>
          <w:bCs/>
          <w:kern w:val="0"/>
          <w:sz w:val="32"/>
          <w:szCs w:val="32"/>
          <w:highlight w:val="none"/>
        </w:rPr>
        <w:t>财务管理制度方面。市大数据中心制定了比较完善的内控管理制度，包括《北京市大数据中心预算管理办法》《北京市大数据中心项目采购管理办法（政府采购部分）》《北京市大数据中心合同管理办法》《北京市大数据中心项目管理办法》《北京市大数据中心支出管理办法》等，从预算申报、采购管理、合同签订、资金支出等各方面进行细致规定。</w:t>
      </w:r>
    </w:p>
    <w:p>
      <w:pPr>
        <w:adjustRightInd w:val="0"/>
        <w:snapToGrid w:val="0"/>
        <w:spacing w:line="560" w:lineRule="exact"/>
        <w:ind w:firstLine="640" w:firstLineChars="200"/>
        <w:rPr>
          <w:rFonts w:hint="eastAsia" w:ascii="仿宋_GB2312" w:hAnsi="宋体" w:eastAsia="仿宋_GB2312" w:cs="宋体"/>
          <w:bCs/>
          <w:kern w:val="0"/>
          <w:sz w:val="32"/>
          <w:szCs w:val="32"/>
          <w:highlight w:val="none"/>
        </w:rPr>
      </w:pPr>
      <w:r>
        <w:rPr>
          <w:rFonts w:hint="eastAsia" w:ascii="仿宋_GB2312" w:hAnsi="宋体" w:eastAsia="仿宋_GB2312" w:cs="宋体"/>
          <w:bCs/>
          <w:kern w:val="0"/>
          <w:sz w:val="32"/>
          <w:szCs w:val="32"/>
          <w:highlight w:val="none"/>
        </w:rPr>
        <w:t>业务管理制度方面。为规范和加强项目管理，提高管理效率和项目实施质量，项目单位严格按照国家、北京市层面相关管理制度执行，如《政务信息资源共享管理暂行办法》（国发〔2016〕51号）、《数据安全法》、《北京市政务数据资源共享管理办法》（京政办发〔2017〕47号），并相应制定了</w:t>
      </w:r>
      <w:r>
        <w:rPr>
          <w:rFonts w:ascii="Times New Roman Regular" w:hAnsi="Times New Roman Regular" w:eastAsia="仿宋_GB2312" w:cs="Times New Roman Regular"/>
          <w:sz w:val="32"/>
          <w:szCs w:val="32"/>
          <w:highlight w:val="none"/>
        </w:rPr>
        <w:t>《北京市社会数据采购和使用管理暂行办法》</w:t>
      </w:r>
      <w:r>
        <w:rPr>
          <w:rFonts w:hint="eastAsia" w:ascii="Times New Roman Regular" w:hAnsi="Times New Roman Regular" w:eastAsia="仿宋_GB2312" w:cs="Times New Roman Regular"/>
          <w:sz w:val="32"/>
          <w:szCs w:val="32"/>
          <w:highlight w:val="none"/>
        </w:rPr>
        <w:t>（</w:t>
      </w:r>
      <w:r>
        <w:rPr>
          <w:rFonts w:ascii="Times New Roman Regular" w:hAnsi="Times New Roman Regular" w:eastAsia="仿宋_GB2312" w:cs="Times New Roman Regular"/>
          <w:sz w:val="32"/>
          <w:szCs w:val="32"/>
          <w:highlight w:val="none"/>
        </w:rPr>
        <w:t>京大</w:t>
      </w:r>
      <w:r>
        <w:rPr>
          <w:rFonts w:hint="eastAsia" w:ascii="仿宋_GB2312" w:hAnsi="宋体" w:eastAsia="仿宋_GB2312" w:cs="宋体"/>
          <w:bCs/>
          <w:kern w:val="0"/>
          <w:sz w:val="32"/>
          <w:szCs w:val="32"/>
          <w:highlight w:val="none"/>
        </w:rPr>
        <w:t>数据发〔2019〕2号）、《北京市公共数据管理办法》等制度办法，对该项目实施的基本业务流程及相关要求予以明确，但作为延续多年实施的项目，结合机构改革转隶的背景，社会数据统采共用项目尚未在暂行办法的基础上形成正式的管理办法，办法更新及时性有待增强。</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（2）制度执行有效性</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一是执行过程规范性方面。项目通过公开招标、单一来源采购等方式确定了相关数据运营商，单一来源采购方式经过了专家论证、报主管部门审批及市财政局备案。项目组织实施过程中，能够按照各服务合同、方案、制度文件及职责分工等进行推进，运营商按照约定完成了年度数据资源支撑服务，且项目单位组织了专家评审指导、中期项目进展汇报等过程管控工作。但是评价发现，项目合同及过程管理规范性有待提升，如，运营商数据采购合同中约定乙方需引入第三方机构开展数据安全监测，第三方数据安全监管单位由运营商确定，独立性无法有效保障，监测核查方式未加以明确；统采社会数据应用的部分场景，如，市统计局车流动、人员流动、碳排放核算统计，市园林绿化局入园游客数据统计等，此类应用与应用单位自采数据间的衔接及边界可进一步关注，“月报季评”及协助进行信息化项目评审等管控措施的有效性建议进一步追踪。</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二是项目调整手续方面。依据预算及绩效目标的约束性原则，市大数据中心严格按照预算及绩效目标设定执行，</w:t>
      </w:r>
      <w:r>
        <w:rPr>
          <w:rFonts w:hint="eastAsia" w:ascii="仿宋_GB2312" w:hAnsi="Times New Roman" w:eastAsia="仿宋_GB2312"/>
          <w:sz w:val="32"/>
          <w:szCs w:val="32"/>
          <w:highlight w:val="none"/>
          <w:lang w:val="en-US" w:eastAsia="zh-CN"/>
        </w:rPr>
        <w:t>并保证</w:t>
      </w:r>
      <w:r>
        <w:rPr>
          <w:rFonts w:hint="eastAsia" w:ascii="仿宋_GB2312" w:hAnsi="Times New Roman" w:eastAsia="仿宋_GB2312"/>
          <w:sz w:val="32"/>
          <w:szCs w:val="32"/>
          <w:highlight w:val="none"/>
        </w:rPr>
        <w:t>尾款支付有验收材料</w:t>
      </w:r>
      <w:r>
        <w:rPr>
          <w:rFonts w:hint="eastAsia" w:ascii="仿宋_GB2312" w:hAnsi="Times New Roman" w:eastAsia="仿宋_GB2312"/>
          <w:sz w:val="32"/>
          <w:szCs w:val="32"/>
          <w:highlight w:val="none"/>
          <w:lang w:val="en-US" w:eastAsia="zh-CN"/>
        </w:rPr>
        <w:t>进行</w:t>
      </w:r>
      <w:r>
        <w:rPr>
          <w:rFonts w:hint="eastAsia" w:ascii="仿宋_GB2312" w:hAnsi="Times New Roman" w:eastAsia="仿宋_GB2312"/>
          <w:sz w:val="32"/>
          <w:szCs w:val="32"/>
          <w:highlight w:val="none"/>
        </w:rPr>
        <w:t>支撑。为减少资金支付风险的同时保障资金支付进度，合同期满6个月后、即2024年11月，市大数据中心完成了社会数据统采共用项目合同补充协议签署，将两次付款变更为三次付款，并完成第2次付款1826.85万元。补充协议</w:t>
      </w:r>
      <w:r>
        <w:rPr>
          <w:rFonts w:hint="eastAsia" w:ascii="仿宋_GB2312" w:hAnsi="Times New Roman" w:eastAsia="仿宋_GB2312"/>
          <w:sz w:val="32"/>
          <w:szCs w:val="32"/>
          <w:highlight w:val="none"/>
          <w:lang w:val="en-US" w:eastAsia="zh-CN"/>
        </w:rPr>
        <w:t>按照相关程序</w:t>
      </w:r>
      <w:r>
        <w:rPr>
          <w:rFonts w:hint="eastAsia" w:ascii="仿宋_GB2312" w:hAnsi="Times New Roman" w:eastAsia="仿宋_GB2312"/>
          <w:sz w:val="32"/>
          <w:szCs w:val="32"/>
          <w:highlight w:val="none"/>
        </w:rPr>
        <w:t>审议后签署，项目调整手续较为完备。</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三是档案资料管理方面。项目执行管理过程中涉及的采购文件、服务合同、会议纪要、第三方数据监管周报、项目月报、专题分析报告等资料均有留存，项目关键业务过程性档案资料留存较为完备。但评价发现，部分档案资料的具体内容不够完整，如，双方签订的补充协议不够严谨，忽略了将中期验收评估作为支付中期付款的前提条件，不利于对合同履约进度及质量的把控；项目实施方案的可行性较好，但是缺少了采购计划实施步骤具体措施以及对于合同履约阶段性检查评估等措施，验收措施不够明晰。</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四是保障条件落实方面。项目建立了较为明确的组织结构及相关责任人员。项目由市大数据中心数据管理部指派专人负责，并选取经验丰富、专业过硬的服务商开展具体工作，由市大数据中心协同服务方共同组建项目实施管理团队，项目所需人员条件落实到位，有效保障项目按计划实施。项目技术管理方面，已完成社会数据接入市大数据平台，依托市大数据平台统一对使用方提供共享服务，保障数据接入和共享条件，项目实施信息技术支撑较好。</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综上，项目执行过程整体较为规范、保障条件落实情况较好，但项目第三方监管机构的独立性、对统采社会数据与应用单位数据采集投入间的关注、档案资料具体内容的完整性有待进一步提升。</w:t>
      </w:r>
    </w:p>
    <w:bookmarkEnd w:id="32"/>
    <w:bookmarkEnd w:id="33"/>
    <w:bookmarkEnd w:id="36"/>
    <w:p>
      <w:pPr>
        <w:autoSpaceDE w:val="0"/>
        <w:autoSpaceDN w:val="0"/>
        <w:adjustRightInd w:val="0"/>
        <w:snapToGrid w:val="0"/>
        <w:spacing w:line="560" w:lineRule="exact"/>
        <w:ind w:firstLine="640" w:firstLineChars="200"/>
        <w:outlineLvl w:val="1"/>
        <w:rPr>
          <w:rFonts w:hint="eastAsia" w:ascii="楷体_GB2312" w:hAnsi="宋体" w:eastAsia="楷体_GB2312" w:cs="宋体"/>
          <w:color w:val="000000"/>
          <w:kern w:val="0"/>
          <w:sz w:val="32"/>
          <w:szCs w:val="32"/>
          <w:highlight w:val="none"/>
        </w:rPr>
      </w:pPr>
      <w:bookmarkStart w:id="37" w:name="_Toc12817"/>
      <w:r>
        <w:rPr>
          <w:rFonts w:hint="eastAsia" w:ascii="楷体_GB2312" w:hAnsi="宋体" w:eastAsia="楷体_GB2312" w:cs="宋体"/>
          <w:color w:val="000000"/>
          <w:kern w:val="0"/>
          <w:sz w:val="32"/>
          <w:szCs w:val="32"/>
          <w:highlight w:val="none"/>
        </w:rPr>
        <w:t>（三）项目产出情况</w:t>
      </w:r>
      <w:bookmarkEnd w:id="3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iCs/>
          <w:sz w:val="32"/>
          <w:szCs w:val="32"/>
          <w:highlight w:val="none"/>
        </w:rPr>
      </w:pPr>
      <w:bookmarkStart w:id="38" w:name="_Hlk130045650"/>
      <w:r>
        <w:rPr>
          <w:rFonts w:hint="eastAsia" w:ascii="仿宋_GB2312" w:eastAsia="仿宋_GB2312"/>
          <w:iCs/>
          <w:sz w:val="32"/>
          <w:szCs w:val="32"/>
          <w:highlight w:val="none"/>
        </w:rPr>
        <w:t>2024年4月合同签订后，数据应用环境服务、数据源基础处理服务、业务场景数据服务、专题数据服务及互联网数据支撑服务均已按照计划节点、保质保量完成，项目开展过程中制定了相应的成本控制措施，并于2025年5月6日通过验收，数据更新共享频次达到预期。但合同签订时间有所滞后、较上年合同存在2个月的断档期，成本控制措施有效性可进一步提升。该指标分值40分，得分38.00分，得分率95.00%。</w:t>
      </w:r>
      <w:bookmarkEnd w:id="38"/>
      <w:bookmarkStart w:id="39" w:name="_Hlk130032542"/>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1.产出数量</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（1）接入数据完成率</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基于项目设置的绩效目标表，项目计划接入数据量≥700亿条，通过采购三家运营商及互联网数据，以专线搭建和数据使用权开通等形式实现数据资源对接，2024年4月-2025年4月累计接入原始数据量达716.26亿条，接入数据完成率100%。</w:t>
      </w:r>
    </w:p>
    <w:p>
      <w:pPr>
        <w:numPr>
          <w:ilvl w:val="255"/>
          <w:numId w:val="0"/>
        </w:num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（2）特定字段使用权共享完成率</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基于项目设置的绩效目标表，项目计划采购基于运营商数据提取的对象、设备、基站等数据使用权特定字段数量≥30项。截至2025年4月底，</w:t>
      </w:r>
      <w:r>
        <w:rPr>
          <w:rFonts w:hint="eastAsia" w:ascii="仿宋_GB2312" w:hAnsi="Times New Roman" w:eastAsia="仿宋_GB2312"/>
          <w:sz w:val="32"/>
          <w:szCs w:val="32"/>
          <w:highlight w:val="none"/>
        </w:rPr>
        <w:t>项目累计共享34个指标字段，特定字段使用权共享完成率100%</w:t>
      </w:r>
      <w:r>
        <w:rPr>
          <w:rFonts w:hint="eastAsia" w:ascii="仿宋_GB2312" w:eastAsia="仿宋_GB2312"/>
          <w:iCs/>
          <w:sz w:val="32"/>
          <w:szCs w:val="32"/>
          <w:highlight w:val="none"/>
        </w:rPr>
        <w:t>。</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（3）运维监测指标及数据服务完成率</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基于项目设置的绩效目标表，项目计划完成指标模型部署数量≥60个，截至2025年4月累计完成瞬时业务指标模型、日度业务指标模型、月度业务指标模型等3类共计63个运维监测指标的构建和部署工作，并相应提供数据更新服务。其中，瞬时业务指标数据更新周期为30分钟，包括22个指标；日度业务指标数据每日更新，包括21个指标；月度业务指标数据每月更新，包括20个指标。</w:t>
      </w:r>
    </w:p>
    <w:p>
      <w:pPr>
        <w:adjustRightInd w:val="0"/>
        <w:snapToGrid w:val="0"/>
        <w:spacing w:line="560" w:lineRule="exact"/>
        <w:ind w:firstLine="640" w:firstLineChars="200"/>
        <w:outlineLvl w:val="2"/>
        <w:rPr>
          <w:rFonts w:hint="eastAsia" w:ascii="仿宋_GB2312" w:eastAsia="仿宋_GB2312"/>
          <w:iCs/>
          <w:sz w:val="32"/>
          <w:szCs w:val="32"/>
          <w:highlight w:val="none"/>
        </w:rPr>
      </w:pPr>
      <w:r>
        <w:rPr>
          <w:rFonts w:hint="eastAsia" w:ascii="仿宋_GB2312" w:eastAsia="仿宋_GB2312"/>
          <w:sz w:val="32"/>
          <w:szCs w:val="32"/>
          <w:highlight w:val="none"/>
        </w:rPr>
        <w:t>（4）支持应用场景完成率</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基于项目设置的绩效目标表，项目计划支持数据共享服务的应用场景数≥35个，项目通过采购运营商内容、对数据进行计算加工、形成业务指标数据，进而为各委办局提供数据资源共享，截至2025年4月，项目累计支撑25个市区部门提供40个服务应用场景</w:t>
      </w:r>
      <w:bookmarkEnd w:id="39"/>
      <w:r>
        <w:rPr>
          <w:rFonts w:hint="eastAsia" w:ascii="仿宋_GB2312" w:eastAsia="仿宋_GB2312"/>
          <w:iCs/>
          <w:sz w:val="32"/>
          <w:szCs w:val="32"/>
          <w:highlight w:val="none"/>
        </w:rPr>
        <w:t>。</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2.产出质量</w:t>
      </w:r>
    </w:p>
    <w:p>
      <w:pPr>
        <w:adjustRightInd w:val="0"/>
        <w:snapToGrid w:val="0"/>
        <w:spacing w:line="560" w:lineRule="exact"/>
        <w:ind w:firstLine="640" w:firstLineChars="200"/>
        <w:rPr>
          <w:rFonts w:hint="eastAsia" w:ascii="仿宋_GB2312" w:eastAsia="仿宋_GB2312"/>
          <w:iCs/>
          <w:sz w:val="32"/>
          <w:szCs w:val="32"/>
          <w:highlight w:val="none"/>
        </w:rPr>
      </w:pPr>
      <w:bookmarkStart w:id="40" w:name="_Hlk130027843"/>
      <w:r>
        <w:rPr>
          <w:rFonts w:hint="eastAsia" w:ascii="仿宋_GB2312" w:eastAsia="仿宋_GB2312"/>
          <w:iCs/>
          <w:sz w:val="32"/>
          <w:szCs w:val="32"/>
          <w:highlight w:val="none"/>
        </w:rPr>
        <w:t>项目年度计划产出质量为运营商数据精度准确率≥90.00%、业务应用需求满足率≥90.00%、互联网数据服务及时率≥90.00%，2024年4月合同签订后，运营商数据精度准确率方面，基于运营商自有数据采集，运营商北京市注册用户数月均为2932.60万人，月均监测采集到的用户数为2916.37万人，从用户采集覆盖角度人员监测精度准确率为99.45%，达成年度目标;业务应用需求满足率方面，项目服务期间累计接收各单位业务指标应用需求527项，完成业务数据需求共享493项，尚在申请状态中6项，未提供业务数据需求28项，剔除尚在申请状态中的应用需求，业务应用需求满足率为94.63%，达成年度目标；互联网数据服务及时率方面，项目服务期间累计提供数据共享32856次，其中数据及时更新32781次、数据未及时更新75次，数据服务及时率99.77%，达成年度目标。</w:t>
      </w:r>
    </w:p>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3.产出时效</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Times New Roman" w:eastAsia="仿宋_GB2312"/>
          <w:sz w:val="32"/>
          <w:szCs w:val="32"/>
          <w:highlight w:val="none"/>
        </w:rPr>
        <w:t>2024年4月合同签订后，按照项目实施方案及合同条款约定，项目完成了服务期内的数据应用环境服务、数据源基础处理服务、业务场景数据服务、专题数据服务及互联网数据支撑服务，数据更新共享频次达到预期。2025年5月6日，市大数据中心组织召开专家验收评审会，3家运营商数据采购及互联网数据采购均通过验收。但是2024年度合同计划2024年2月签订、实际于2024年4月签订，实际签订时间与上年度合同间存在2个月的断档期，经中国政府采购网公开查询资料，2023年度社会数据统采共用项目之运营商数据采购项目单一来源采购成交时间为2023年1月18日、合同签订时间1月28日，2024年度运营商数据采购项目合同签订时间为2024年4月19日，延续性项目合同接续管理不够连贯、及时，存在一定风险。</w:t>
      </w:r>
    </w:p>
    <w:bookmarkEnd w:id="40"/>
    <w:p>
      <w:pPr>
        <w:adjustRightInd w:val="0"/>
        <w:snapToGrid w:val="0"/>
        <w:spacing w:line="560" w:lineRule="exact"/>
        <w:ind w:firstLine="640" w:firstLineChars="200"/>
        <w:outlineLvl w:val="2"/>
        <w:rPr>
          <w:rFonts w:hint="eastAsia" w:ascii="仿宋_GB2312" w:eastAsia="仿宋_GB2312"/>
          <w:sz w:val="32"/>
          <w:szCs w:val="32"/>
          <w:highlight w:val="none"/>
        </w:rPr>
      </w:pPr>
      <w:r>
        <w:rPr>
          <w:rFonts w:hint="eastAsia" w:ascii="仿宋_GB2312" w:eastAsia="仿宋_GB2312"/>
          <w:sz w:val="32"/>
          <w:szCs w:val="32"/>
          <w:highlight w:val="none"/>
        </w:rPr>
        <w:t>4.产出成本</w:t>
      </w:r>
    </w:p>
    <w:p>
      <w:pPr>
        <w:adjustRightInd w:val="0"/>
        <w:snapToGrid w:val="0"/>
        <w:spacing w:line="560" w:lineRule="exact"/>
        <w:ind w:firstLine="640" w:firstLineChars="200"/>
        <w:rPr>
          <w:rFonts w:hint="eastAsia" w:ascii="仿宋_GB2312" w:eastAsia="仿宋_GB2312"/>
          <w:iCs/>
          <w:sz w:val="32"/>
          <w:szCs w:val="32"/>
          <w:highlight w:val="none"/>
        </w:rPr>
      </w:pPr>
      <w:bookmarkStart w:id="41" w:name="_Hlk130026468"/>
      <w:r>
        <w:rPr>
          <w:rFonts w:hint="eastAsia" w:ascii="仿宋_GB2312" w:eastAsia="仿宋_GB2312"/>
          <w:iCs/>
          <w:sz w:val="32"/>
          <w:szCs w:val="32"/>
          <w:highlight w:val="none"/>
        </w:rPr>
        <w:t>该项目在参考市场标准及往年合同额的基础上，通过预算评审对测算内容、服务量及单价进行专业认定，并结合数据采购渠道及采购管理规定选取合适的采购方式，项目形成了一定的成本控制措施。但针对三大运营商信令数据采购，采取单一来源方式，采购控制价格即合同价格，未见成本节约；针对互联网数据采购，预算金额490.00万元，合同金额489.00万元，成本节约力度可进一步提升。</w:t>
      </w:r>
    </w:p>
    <w:bookmarkEnd w:id="41"/>
    <w:p>
      <w:pPr>
        <w:autoSpaceDE w:val="0"/>
        <w:autoSpaceDN w:val="0"/>
        <w:adjustRightInd w:val="0"/>
        <w:snapToGrid w:val="0"/>
        <w:spacing w:line="560" w:lineRule="exact"/>
        <w:ind w:firstLine="640" w:firstLineChars="200"/>
        <w:outlineLvl w:val="1"/>
        <w:rPr>
          <w:rFonts w:hint="eastAsia" w:ascii="楷体_GB2312" w:hAnsi="宋体" w:eastAsia="楷体_GB2312" w:cs="宋体"/>
          <w:color w:val="000000"/>
          <w:kern w:val="0"/>
          <w:sz w:val="32"/>
          <w:szCs w:val="32"/>
          <w:highlight w:val="none"/>
        </w:rPr>
      </w:pPr>
      <w:bookmarkStart w:id="42" w:name="_Toc6289"/>
      <w:bookmarkStart w:id="43" w:name="_Toc35588781"/>
      <w:bookmarkStart w:id="44" w:name="_Toc35588422"/>
      <w:r>
        <w:rPr>
          <w:rFonts w:hint="eastAsia" w:ascii="楷体_GB2312" w:hAnsi="宋体" w:eastAsia="楷体_GB2312" w:cs="宋体"/>
          <w:color w:val="000000"/>
          <w:kern w:val="0"/>
          <w:sz w:val="32"/>
          <w:szCs w:val="32"/>
          <w:highlight w:val="none"/>
        </w:rPr>
        <w:t>（四）项目效益情况</w:t>
      </w:r>
      <w:bookmarkEnd w:id="42"/>
    </w:p>
    <w:p>
      <w:pPr>
        <w:autoSpaceDE w:val="0"/>
        <w:autoSpaceDN w:val="0"/>
        <w:adjustRightInd w:val="0"/>
        <w:snapToGrid w:val="0"/>
        <w:spacing w:line="560" w:lineRule="exact"/>
        <w:ind w:firstLine="640" w:firstLineChars="200"/>
        <w:outlineLvl w:val="2"/>
        <w:rPr>
          <w:rFonts w:hint="eastAsia" w:ascii="仿宋_GB2312" w:eastAsia="仿宋_GB2312"/>
          <w:iCs/>
          <w:sz w:val="32"/>
          <w:szCs w:val="32"/>
          <w:highlight w:val="none"/>
        </w:rPr>
      </w:pPr>
      <w:bookmarkStart w:id="45" w:name="_Hlk136518432"/>
      <w:r>
        <w:rPr>
          <w:rFonts w:hint="eastAsia" w:ascii="仿宋_GB2312" w:eastAsia="仿宋_GB2312"/>
          <w:iCs/>
          <w:sz w:val="32"/>
          <w:szCs w:val="32"/>
          <w:highlight w:val="none"/>
        </w:rPr>
        <w:t>项目实施在保障社会数据共享及应用范围、推动社会数据应用效率及服务能力提升等方面取得了较好的效果，数据共享使用单位满意度情况较好。但该项目统采的社会数据对应用场景的支撑牵引性作用有待进一步追踪、数据共享应用与统筹管理的考核材料可进一步呈现，满意度问题的丰富程度可进一步加强。该指标分值30分，得分26.20分，得分率87.33%。</w:t>
      </w:r>
      <w:bookmarkEnd w:id="45"/>
    </w:p>
    <w:p>
      <w:pPr>
        <w:autoSpaceDE w:val="0"/>
        <w:autoSpaceDN w:val="0"/>
        <w:adjustRightInd w:val="0"/>
        <w:snapToGrid w:val="0"/>
        <w:spacing w:line="560" w:lineRule="exact"/>
        <w:ind w:firstLine="640" w:firstLineChars="200"/>
        <w:outlineLvl w:val="2"/>
        <w:rPr>
          <w:rFonts w:hint="eastAsia" w:ascii="仿宋_GB2312" w:hAnsi="宋体" w:eastAsia="仿宋_GB2312" w:cs="宋体"/>
          <w:i/>
          <w:iCs/>
          <w:color w:val="000000"/>
          <w:kern w:val="0"/>
          <w:sz w:val="32"/>
          <w:szCs w:val="32"/>
          <w:highlight w:val="none"/>
        </w:rPr>
      </w:pPr>
      <w:r>
        <w:rPr>
          <w:rFonts w:ascii="仿宋_GB2312" w:hAnsi="宋体" w:eastAsia="仿宋_GB2312" w:cs="宋体"/>
          <w:color w:val="000000"/>
          <w:kern w:val="0"/>
          <w:sz w:val="32"/>
          <w:szCs w:val="32"/>
          <w:highlight w:val="none"/>
        </w:rPr>
        <w:t>1.</w:t>
      </w:r>
      <w:r>
        <w:rPr>
          <w:rFonts w:hint="eastAsia" w:ascii="仿宋_GB2312" w:hAnsi="宋体" w:eastAsia="仿宋_GB2312" w:cs="宋体"/>
          <w:color w:val="000000"/>
          <w:kern w:val="0"/>
          <w:sz w:val="32"/>
          <w:szCs w:val="32"/>
          <w:highlight w:val="none"/>
        </w:rPr>
        <w:t>促进社会数据共享及应用范围扩大</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从数据应用覆盖地理范围方面，项目服务期间，累计支撑25个市区部门数据应用需求，共享数据区域范围包括北京市、343个街乡镇、215个等级景区以及60个重点商圈等范围，在数据应用覆盖地理范围方面，覆盖区域包括整个北京市，达到全面覆盖。</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从应用场景方面，共享数据覆盖城市人口治理、文化旅游洞察、城市空间规划、重点节假日保障、重点区域应急保障、医院精细化管理、交通治理、商圈洞察、就业分析、领导驾驶舱等40个应用场景服务，覆盖“善政-兴业-惠民”等不同领域的数据应用支撑需求。</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综上，该项目数据共享覆盖地理范围较广，覆盖市级部门、区级单位、街乡镇、景区及商圈等多个层级，并支撑在40个“善政-兴业-惠民”应用场景中全面赋能城市治理与公共服务，但数据应用共享范围有进一步需求拓展空间，效益呈现充分性有待增强。</w:t>
      </w:r>
    </w:p>
    <w:p>
      <w:pPr>
        <w:autoSpaceDE w:val="0"/>
        <w:autoSpaceDN w:val="0"/>
        <w:adjustRightInd w:val="0"/>
        <w:snapToGrid w:val="0"/>
        <w:spacing w:line="560" w:lineRule="exact"/>
        <w:ind w:firstLine="640" w:firstLineChars="200"/>
        <w:outlineLvl w:val="2"/>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2.推动社会数据应用效率及服务能力提升</w:t>
      </w:r>
    </w:p>
    <w:p>
      <w:pPr>
        <w:autoSpaceDE w:val="0"/>
        <w:autoSpaceDN w:val="0"/>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通过项目实施，已向多个市级部门及区级单位提供数据共享服务，支撑“疏整促”、统计核算、重点区域监管等</w:t>
      </w:r>
      <w:r>
        <w:rPr>
          <w:rFonts w:hint="eastAsia" w:ascii="仿宋_GB2312" w:hAnsi="宋体" w:eastAsia="仿宋_GB2312" w:cs="宋体"/>
          <w:color w:val="000000"/>
          <w:kern w:val="0"/>
          <w:sz w:val="32"/>
          <w:szCs w:val="32"/>
          <w:highlight w:val="none"/>
          <w:lang w:val="en-US" w:eastAsia="zh-CN"/>
        </w:rPr>
        <w:t>40余</w:t>
      </w:r>
      <w:r>
        <w:rPr>
          <w:rFonts w:hint="eastAsia" w:ascii="仿宋_GB2312" w:hAnsi="宋体" w:eastAsia="仿宋_GB2312" w:cs="宋体"/>
          <w:color w:val="000000"/>
          <w:kern w:val="0"/>
          <w:sz w:val="32"/>
          <w:szCs w:val="32"/>
          <w:highlight w:val="none"/>
        </w:rPr>
        <w:t>项应用，有效提升</w:t>
      </w:r>
      <w:r>
        <w:rPr>
          <w:rFonts w:hint="eastAsia" w:ascii="仿宋_GB2312" w:hAnsi="宋体" w:eastAsia="仿宋_GB2312" w:cs="宋体"/>
          <w:color w:val="000000"/>
          <w:kern w:val="0"/>
          <w:sz w:val="32"/>
          <w:szCs w:val="32"/>
          <w:highlight w:val="none"/>
          <w:lang w:val="en-US" w:eastAsia="zh-CN"/>
        </w:rPr>
        <w:t>了</w:t>
      </w:r>
      <w:r>
        <w:rPr>
          <w:rFonts w:hint="eastAsia" w:ascii="仿宋_GB2312" w:hAnsi="宋体" w:eastAsia="仿宋_GB2312" w:cs="宋体"/>
          <w:color w:val="000000"/>
          <w:kern w:val="0"/>
          <w:sz w:val="32"/>
          <w:szCs w:val="32"/>
          <w:highlight w:val="none"/>
        </w:rPr>
        <w:t>相关领域治理能力。在民生服务优化、应急事务调度、经济态势分析等核心领域，依托精细化数据分析与监测，为公共资源调配、风险预警处置、城市资源优化配置等提供有力支撑，同时将应用场景延伸至经济运行、特殊群体服务、特定场所管理等专项领域，为首都现代化治理构建全域、实时、精准的数据基础，进一步提升城市治理精细化与科学化水平。2024年度，项目新增融合分析工作，定期形成专题分析报告报送相关单位，相关成果通过重要信息渠道转化应用，切实强化了对决策工作的支撑作用。​</w:t>
      </w:r>
    </w:p>
    <w:p>
      <w:pPr>
        <w:autoSpaceDE w:val="0"/>
        <w:autoSpaceDN w:val="0"/>
        <w:adjustRightInd w:val="0"/>
        <w:snapToGrid w:val="0"/>
        <w:spacing w:line="56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综上，该项目通过数据共享、专题分析及对相关应用场景的支撑，有效提升了城市精细化治理水平，为首都现代化治理提供了精准高效的数据支撑。但在我市创建“数据要素综合试验区”的背景下，社会数据对应用场景的支撑牵引性作用发挥不够充分，市区各级政府部门对社会数据使用和相关场景的高频率应用情况有待进一步追踪，主管部门对市区两级社会数据使用情况和应用绩效的考核情况呈现不够充分。</w:t>
      </w:r>
    </w:p>
    <w:p>
      <w:pPr>
        <w:autoSpaceDE w:val="0"/>
        <w:autoSpaceDN w:val="0"/>
        <w:adjustRightInd w:val="0"/>
        <w:snapToGrid w:val="0"/>
        <w:spacing w:line="560" w:lineRule="exact"/>
        <w:ind w:firstLine="640" w:firstLineChars="200"/>
        <w:outlineLvl w:val="2"/>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3.数据共享使用单位满意度</w:t>
      </w:r>
    </w:p>
    <w:p>
      <w:pPr>
        <w:pStyle w:val="4"/>
        <w:keepNext w:val="0"/>
        <w:keepLines w:val="0"/>
        <w:pageBreakBefore w:val="0"/>
        <w:widowControl/>
        <w:kinsoku/>
        <w:wordWrap w:val="0"/>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color w:val="000000"/>
          <w:sz w:val="32"/>
          <w:szCs w:val="32"/>
          <w:highlight w:val="none"/>
        </w:rPr>
      </w:pPr>
      <w:r>
        <w:rPr>
          <w:rFonts w:hint="eastAsia" w:ascii="仿宋_GB2312" w:hAnsi="宋体" w:eastAsia="仿宋_GB2312" w:cs="宋体"/>
          <w:color w:val="000000"/>
          <w:sz w:val="32"/>
          <w:szCs w:val="32"/>
          <w:highlight w:val="none"/>
        </w:rPr>
        <w:t>项目服务期间，市大数据中心针对服务委办局进行满意度调查、满意度情况收集，项目服务满意度为97.27%。项目服务期间累计支撑25个市区部门提供40个服务应用场景，目前的服务对象满意度调查覆盖24家单位，满意度调查基本覆盖，但满意度调查问题的丰富程度及对相应改进建议的分析可进一步强化。</w:t>
      </w:r>
    </w:p>
    <w:bookmarkEnd w:id="23"/>
    <w:bookmarkEnd w:id="43"/>
    <w:bookmarkEnd w:id="44"/>
    <w:p>
      <w:pPr>
        <w:adjustRightInd w:val="0"/>
        <w:snapToGrid w:val="0"/>
        <w:spacing w:line="560" w:lineRule="exact"/>
        <w:ind w:firstLine="640" w:firstLineChars="200"/>
        <w:outlineLvl w:val="0"/>
        <w:rPr>
          <w:rFonts w:ascii="Times New Roman" w:hAnsi="Times New Roman" w:eastAsia="黑体"/>
          <w:bCs/>
          <w:caps/>
          <w:sz w:val="32"/>
          <w:szCs w:val="32"/>
          <w:highlight w:val="none"/>
        </w:rPr>
      </w:pPr>
      <w:bookmarkStart w:id="46" w:name="_Toc23367"/>
      <w:bookmarkStart w:id="47" w:name="_Toc17610"/>
      <w:r>
        <w:rPr>
          <w:rFonts w:ascii="Times New Roman" w:hAnsi="Times New Roman" w:eastAsia="黑体"/>
          <w:bCs/>
          <w:caps/>
          <w:sz w:val="32"/>
          <w:szCs w:val="32"/>
          <w:highlight w:val="none"/>
        </w:rPr>
        <w:t>五、</w:t>
      </w:r>
      <w:r>
        <w:rPr>
          <w:rFonts w:hint="eastAsia" w:ascii="Times New Roman" w:hAnsi="Times New Roman" w:eastAsia="黑体"/>
          <w:bCs/>
          <w:caps/>
          <w:sz w:val="32"/>
          <w:szCs w:val="32"/>
          <w:highlight w:val="none"/>
        </w:rPr>
        <w:t>主要经验及做法、存在</w:t>
      </w:r>
      <w:r>
        <w:rPr>
          <w:rFonts w:ascii="Times New Roman" w:hAnsi="Times New Roman" w:eastAsia="黑体"/>
          <w:bCs/>
          <w:caps/>
          <w:sz w:val="32"/>
          <w:szCs w:val="32"/>
          <w:highlight w:val="none"/>
        </w:rPr>
        <w:t>的问题及原因分析</w:t>
      </w:r>
      <w:bookmarkEnd w:id="46"/>
    </w:p>
    <w:p>
      <w:pPr>
        <w:adjustRightInd w:val="0"/>
        <w:snapToGrid w:val="0"/>
        <w:spacing w:line="560" w:lineRule="exact"/>
        <w:ind w:firstLine="640" w:firstLineChars="200"/>
        <w:outlineLvl w:val="1"/>
        <w:rPr>
          <w:rFonts w:ascii="Times New Roman" w:hAnsi="Times New Roman" w:eastAsia="楷体"/>
          <w:bCs/>
          <w:caps/>
          <w:sz w:val="32"/>
          <w:szCs w:val="32"/>
          <w:highlight w:val="none"/>
        </w:rPr>
      </w:pPr>
      <w:bookmarkStart w:id="48" w:name="_Toc130166656"/>
      <w:bookmarkStart w:id="49" w:name="_Toc20913"/>
      <w:bookmarkStart w:id="50" w:name="_Toc20648"/>
      <w:bookmarkStart w:id="51" w:name="_Hlk136518577"/>
      <w:r>
        <w:rPr>
          <w:rFonts w:hint="eastAsia" w:ascii="Times New Roman" w:hAnsi="Times New Roman" w:eastAsia="楷体"/>
          <w:bCs/>
          <w:caps/>
          <w:sz w:val="32"/>
          <w:szCs w:val="32"/>
          <w:highlight w:val="none"/>
        </w:rPr>
        <w:t>（一）</w:t>
      </w:r>
      <w:bookmarkEnd w:id="48"/>
      <w:r>
        <w:rPr>
          <w:rFonts w:hint="eastAsia" w:ascii="Times New Roman" w:hAnsi="Times New Roman" w:eastAsia="楷体"/>
          <w:bCs/>
          <w:caps/>
          <w:sz w:val="32"/>
          <w:szCs w:val="32"/>
          <w:highlight w:val="none"/>
        </w:rPr>
        <w:t>主要经验及做法</w:t>
      </w:r>
      <w:bookmarkEnd w:id="49"/>
    </w:p>
    <w:p>
      <w:pPr>
        <w:adjustRightInd w:val="0"/>
        <w:snapToGrid w:val="0"/>
        <w:spacing w:line="560" w:lineRule="exact"/>
        <w:ind w:firstLine="640" w:firstLineChars="200"/>
        <w:rPr>
          <w:rFonts w:hint="eastAsia" w:ascii="仿宋_GB2312" w:hAnsi="宋体" w:eastAsia="仿宋_GB2312" w:cs="宋体"/>
          <w:bCs/>
          <w:kern w:val="0"/>
          <w:sz w:val="32"/>
          <w:szCs w:val="32"/>
          <w:highlight w:val="none"/>
        </w:rPr>
      </w:pPr>
      <w:r>
        <w:rPr>
          <w:rFonts w:hint="eastAsia" w:ascii="仿宋_GB2312" w:hAnsi="宋体" w:eastAsia="仿宋_GB2312" w:cs="宋体"/>
          <w:bCs/>
          <w:kern w:val="0"/>
          <w:sz w:val="32"/>
          <w:szCs w:val="32"/>
          <w:highlight w:val="none"/>
          <w:lang w:val="en-US" w:eastAsia="zh-CN"/>
        </w:rPr>
        <w:t>此次评价工作</w:t>
      </w:r>
      <w:r>
        <w:rPr>
          <w:rFonts w:hint="eastAsia" w:ascii="仿宋_GB2312" w:hAnsi="宋体" w:eastAsia="仿宋_GB2312" w:cs="宋体"/>
          <w:bCs/>
          <w:kern w:val="0"/>
          <w:sz w:val="32"/>
          <w:szCs w:val="32"/>
          <w:highlight w:val="none"/>
        </w:rPr>
        <w:t>通过简化非关键流程，聚焦重点环节，加强各方沟通及关键节点质询，实时掌握工作进度及阶段性成果，</w:t>
      </w:r>
      <w:r>
        <w:rPr>
          <w:rFonts w:hint="eastAsia" w:ascii="仿宋_GB2312" w:hAnsi="宋体" w:eastAsia="仿宋_GB2312" w:cs="宋体"/>
          <w:bCs/>
          <w:kern w:val="0"/>
          <w:sz w:val="32"/>
          <w:szCs w:val="32"/>
          <w:highlight w:val="none"/>
          <w:lang w:val="en-US" w:eastAsia="zh-CN"/>
        </w:rPr>
        <w:t>有效</w:t>
      </w:r>
      <w:r>
        <w:rPr>
          <w:rFonts w:hint="eastAsia" w:ascii="仿宋_GB2312" w:hAnsi="宋体" w:eastAsia="仿宋_GB2312" w:cs="宋体"/>
          <w:bCs/>
          <w:kern w:val="0"/>
          <w:sz w:val="32"/>
          <w:szCs w:val="32"/>
          <w:highlight w:val="none"/>
        </w:rPr>
        <w:t>提升</w:t>
      </w:r>
      <w:r>
        <w:rPr>
          <w:rFonts w:hint="eastAsia" w:ascii="仿宋_GB2312" w:hAnsi="宋体" w:eastAsia="仿宋_GB2312" w:cs="宋体"/>
          <w:bCs/>
          <w:kern w:val="0"/>
          <w:sz w:val="32"/>
          <w:szCs w:val="32"/>
          <w:highlight w:val="none"/>
          <w:lang w:val="en-US" w:eastAsia="zh-CN"/>
        </w:rPr>
        <w:t>了</w:t>
      </w:r>
      <w:r>
        <w:rPr>
          <w:rFonts w:hint="eastAsia" w:ascii="仿宋_GB2312" w:hAnsi="宋体" w:eastAsia="仿宋_GB2312" w:cs="宋体"/>
          <w:bCs/>
          <w:kern w:val="0"/>
          <w:sz w:val="32"/>
          <w:szCs w:val="32"/>
          <w:highlight w:val="none"/>
        </w:rPr>
        <w:t>评价效率。</w:t>
      </w:r>
      <w:r>
        <w:rPr>
          <w:rFonts w:hint="eastAsia" w:ascii="仿宋_GB2312" w:hAnsi="宋体" w:eastAsia="仿宋_GB2312" w:cs="宋体"/>
          <w:bCs/>
          <w:kern w:val="0"/>
          <w:sz w:val="32"/>
          <w:szCs w:val="32"/>
          <w:highlight w:val="none"/>
          <w:lang w:val="en-US" w:eastAsia="zh-CN"/>
        </w:rPr>
        <w:t>项目资金管理及使用方面，</w:t>
      </w:r>
      <w:r>
        <w:rPr>
          <w:rFonts w:hint="eastAsia" w:ascii="仿宋_GB2312" w:hAnsi="宋体" w:eastAsia="仿宋_GB2312" w:cs="宋体"/>
          <w:bCs/>
          <w:kern w:val="0"/>
          <w:sz w:val="32"/>
          <w:szCs w:val="32"/>
          <w:highlight w:val="none"/>
        </w:rPr>
        <w:t>以“保障资金使用安全”为主线，逐步规范资金申报及支付机制，针对跨年项目如何申报预算进行了统一，提出了未验收、不支付尾款的工作要求，有力保障了资金使用安全。</w:t>
      </w:r>
    </w:p>
    <w:p>
      <w:pPr>
        <w:adjustRightInd w:val="0"/>
        <w:snapToGrid w:val="0"/>
        <w:spacing w:line="560" w:lineRule="exact"/>
        <w:ind w:firstLine="640" w:firstLineChars="200"/>
        <w:outlineLvl w:val="1"/>
        <w:rPr>
          <w:rFonts w:ascii="Times New Roman" w:hAnsi="Times New Roman" w:eastAsia="楷体"/>
          <w:bCs/>
          <w:caps/>
          <w:sz w:val="32"/>
          <w:szCs w:val="32"/>
          <w:highlight w:val="none"/>
        </w:rPr>
      </w:pPr>
      <w:bookmarkStart w:id="52" w:name="_Toc3902"/>
      <w:r>
        <w:rPr>
          <w:rFonts w:hint="eastAsia" w:ascii="Times New Roman" w:hAnsi="Times New Roman" w:eastAsia="楷体"/>
          <w:bCs/>
          <w:caps/>
          <w:sz w:val="32"/>
          <w:szCs w:val="32"/>
          <w:highlight w:val="none"/>
        </w:rPr>
        <w:t>（二）存在的问题及原因分析</w:t>
      </w:r>
      <w:bookmarkEnd w:id="52"/>
    </w:p>
    <w:p>
      <w:pPr>
        <w:spacing w:line="560" w:lineRule="exact"/>
        <w:ind w:firstLine="640" w:firstLineChars="200"/>
        <w:jc w:val="left"/>
        <w:rPr>
          <w:rFonts w:hint="eastAsia" w:ascii="仿宋_GB2312" w:eastAsia="仿宋_GB2312"/>
          <w:iCs/>
          <w:sz w:val="32"/>
          <w:szCs w:val="32"/>
          <w:highlight w:val="none"/>
        </w:rPr>
      </w:pPr>
      <w:r>
        <w:rPr>
          <w:rFonts w:hint="eastAsia" w:ascii="仿宋_GB2312" w:hAnsi="仿宋_GB2312" w:eastAsia="仿宋_GB2312" w:cs="仿宋_GB2312"/>
          <w:bCs/>
          <w:caps/>
          <w:sz w:val="32"/>
          <w:szCs w:val="32"/>
          <w:highlight w:val="none"/>
        </w:rPr>
        <w:t>1.项目需求调研充分性及预算编制精准性有待进一步提升</w:t>
      </w:r>
    </w:p>
    <w:p>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eastAsia="仿宋_GB2312"/>
          <w:iCs/>
          <w:sz w:val="32"/>
          <w:szCs w:val="32"/>
          <w:highlight w:val="none"/>
        </w:rPr>
        <w:t>一是项目预算编制的前期基础工作可进一步完善，前期数据需求调查论证材料需进一步细化；二是作为延续项目，对运营商报价的依赖性较强，且不同运营商之间</w:t>
      </w:r>
      <w:r>
        <w:rPr>
          <w:rFonts w:hint="eastAsia" w:ascii="仿宋_GB2312" w:hAnsi="仿宋_GB2312" w:eastAsia="仿宋_GB2312" w:cs="仿宋_GB2312"/>
          <w:sz w:val="32"/>
          <w:szCs w:val="32"/>
          <w:highlight w:val="none"/>
        </w:rPr>
        <w:t>同类内容成本不够统一，如，专线搭建运维，</w:t>
      </w:r>
      <w:r>
        <w:rPr>
          <w:rFonts w:hint="eastAsia" w:ascii="仿宋_GB2312" w:hAnsi="仿宋_GB2312" w:eastAsia="仿宋_GB2312" w:cs="仿宋_GB2312"/>
          <w:sz w:val="32"/>
          <w:szCs w:val="32"/>
          <w:highlight w:val="none"/>
          <w:lang w:val="en-US" w:eastAsia="zh-CN"/>
        </w:rPr>
        <w:t>采购</w:t>
      </w:r>
      <w:r>
        <w:rPr>
          <w:rFonts w:hint="eastAsia" w:ascii="仿宋_GB2312" w:hAnsi="仿宋_GB2312" w:eastAsia="仿宋_GB2312" w:cs="仿宋_GB2312"/>
          <w:sz w:val="32"/>
          <w:szCs w:val="32"/>
          <w:highlight w:val="none"/>
        </w:rPr>
        <w:t>10M宽带，</w:t>
      </w:r>
      <w:r>
        <w:rPr>
          <w:rFonts w:hint="eastAsia" w:ascii="仿宋_GB2312" w:hAnsi="仿宋_GB2312" w:eastAsia="仿宋_GB2312" w:cs="仿宋_GB2312"/>
          <w:sz w:val="32"/>
          <w:szCs w:val="32"/>
          <w:highlight w:val="none"/>
          <w:lang w:val="en-US" w:eastAsia="zh-CN"/>
        </w:rPr>
        <w:t>不同运营商</w:t>
      </w:r>
      <w:r>
        <w:rPr>
          <w:rFonts w:hint="eastAsia" w:ascii="仿宋_GB2312" w:hAnsi="仿宋_GB2312" w:eastAsia="仿宋_GB2312" w:cs="仿宋_GB2312"/>
          <w:sz w:val="32"/>
          <w:szCs w:val="32"/>
          <w:highlight w:val="none"/>
        </w:rPr>
        <w:t>价格分别为6万元、7.1万元，</w:t>
      </w:r>
      <w:r>
        <w:rPr>
          <w:rFonts w:hint="eastAsia" w:ascii="仿宋_GB2312" w:hAnsi="仿宋_GB2312" w:eastAsia="仿宋_GB2312" w:cs="仿宋_GB2312"/>
          <w:sz w:val="32"/>
          <w:szCs w:val="32"/>
          <w:highlight w:val="none"/>
          <w:lang w:val="en-US" w:eastAsia="zh-CN"/>
        </w:rPr>
        <w:t>较</w:t>
      </w:r>
      <w:r>
        <w:rPr>
          <w:rFonts w:hint="eastAsia" w:ascii="仿宋_GB2312" w:hAnsi="仿宋_GB2312" w:eastAsia="仿宋_GB2312" w:cs="仿宋_GB2312"/>
          <w:sz w:val="32"/>
          <w:szCs w:val="32"/>
          <w:highlight w:val="none"/>
        </w:rPr>
        <w:t>采购</w:t>
      </w:r>
      <w:r>
        <w:rPr>
          <w:rFonts w:hint="eastAsia" w:ascii="仿宋_GB2312" w:hAnsi="仿宋_GB2312" w:eastAsia="仿宋_GB2312" w:cs="仿宋_GB2312"/>
          <w:sz w:val="32"/>
          <w:szCs w:val="32"/>
          <w:highlight w:val="none"/>
          <w:lang w:val="en-US" w:eastAsia="zh-CN"/>
        </w:rPr>
        <w:t>个别运营商</w:t>
      </w:r>
      <w:r>
        <w:rPr>
          <w:rFonts w:hint="eastAsia" w:ascii="仿宋_GB2312" w:hAnsi="仿宋_GB2312" w:eastAsia="仿宋_GB2312" w:cs="仿宋_GB2312"/>
          <w:sz w:val="32"/>
          <w:szCs w:val="32"/>
          <w:highlight w:val="none"/>
        </w:rPr>
        <w:t>50M宽带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成本仅</w:t>
      </w:r>
      <w:r>
        <w:rPr>
          <w:rFonts w:hint="eastAsia" w:ascii="仿宋_GB2312" w:hAnsi="仿宋_GB2312" w:eastAsia="仿宋_GB2312" w:cs="仿宋_GB2312"/>
          <w:sz w:val="32"/>
          <w:szCs w:val="32"/>
          <w:highlight w:val="none"/>
        </w:rPr>
        <w:t>为6万元</w:t>
      </w:r>
      <w:r>
        <w:rPr>
          <w:rFonts w:hint="eastAsia" w:ascii="仿宋_GB2312" w:hAnsi="仿宋_GB2312" w:eastAsia="仿宋_GB2312" w:cs="仿宋_GB2312"/>
          <w:sz w:val="32"/>
          <w:szCs w:val="32"/>
          <w:highlight w:val="none"/>
          <w:lang w:val="en-US" w:eastAsia="zh-CN"/>
        </w:rPr>
        <w:t>偏高</w:t>
      </w:r>
      <w:r>
        <w:rPr>
          <w:rFonts w:hint="eastAsia" w:ascii="仿宋_GB2312" w:hAnsi="仿宋_GB2312" w:eastAsia="仿宋_GB2312" w:cs="仿宋_GB2312"/>
          <w:sz w:val="32"/>
          <w:szCs w:val="32"/>
          <w:highlight w:val="none"/>
        </w:rPr>
        <w:t>。</w:t>
      </w:r>
    </w:p>
    <w:p>
      <w:pPr>
        <w:spacing w:line="560" w:lineRule="exact"/>
        <w:ind w:firstLine="640" w:firstLineChars="200"/>
        <w:jc w:val="left"/>
        <w:rPr>
          <w:rFonts w:hint="eastAsia" w:ascii="仿宋_GB2312" w:hAnsi="仿宋_GB2312" w:eastAsia="仿宋_GB2312" w:cs="仿宋_GB2312"/>
          <w:bCs/>
          <w:caps/>
          <w:sz w:val="32"/>
          <w:szCs w:val="32"/>
          <w:highlight w:val="none"/>
        </w:rPr>
      </w:pPr>
      <w:r>
        <w:rPr>
          <w:rFonts w:hint="eastAsia" w:ascii="仿宋_GB2312" w:hAnsi="仿宋_GB2312" w:eastAsia="仿宋_GB2312" w:cs="仿宋_GB2312"/>
          <w:bCs/>
          <w:caps/>
          <w:sz w:val="32"/>
          <w:szCs w:val="32"/>
          <w:highlight w:val="none"/>
        </w:rPr>
        <w:t>2.项目管理精细化水平有进一步改进空间，针对统采社会数据与单位自采数据间的管控措施呈现不足</w:t>
      </w:r>
    </w:p>
    <w:p>
      <w:pPr>
        <w:adjustRightInd w:val="0"/>
        <w:snapToGrid w:val="0"/>
        <w:spacing w:line="560" w:lineRule="exact"/>
        <w:ind w:firstLine="640" w:firstLineChars="200"/>
        <w:rPr>
          <w:rFonts w:ascii="仿宋_GB2312" w:hAnsi="Times New Roman" w:eastAsia="仿宋_GB2312"/>
          <w:sz w:val="32"/>
          <w:szCs w:val="32"/>
          <w:highlight w:val="none"/>
        </w:rPr>
      </w:pPr>
      <w:r>
        <w:rPr>
          <w:rFonts w:hint="eastAsia" w:ascii="仿宋_GB2312" w:hAnsi="宋体" w:eastAsia="仿宋_GB2312" w:cs="宋体"/>
          <w:bCs/>
          <w:kern w:val="0"/>
          <w:sz w:val="32"/>
          <w:szCs w:val="32"/>
          <w:highlight w:val="none"/>
        </w:rPr>
        <w:t>一是项目作为延续多年实施的项目，尚未在暂行办法的基础上形成正式的管理办法，办法更新及时性有待增强，且未专门建立针对社会数据的安全管理制度；二是</w:t>
      </w:r>
      <w:r>
        <w:rPr>
          <w:rFonts w:hint="eastAsia" w:ascii="仿宋_GB2312" w:hAnsi="Times New Roman" w:eastAsia="仿宋_GB2312"/>
          <w:sz w:val="32"/>
          <w:szCs w:val="32"/>
          <w:highlight w:val="none"/>
        </w:rPr>
        <w:t>第三方监管机构的独立性有待提升，如，运营商数据采购合同中约定乙方需引入第三方机构开展数据安全监测，第三方数据安全监管单位由运营商确定，监测核查方式未予以明确，监测核查结果的有效性存在一定的不确定性；三是统采社会数据应用的部分场景，如，市统计局车流动、人员流动、碳排放核算统计，市园林绿化局入园游客数据统计等，此类应用与应用单位自采数据间的衔接及边界可进一步关注，相关管控措施的有效性建议进一步追踪；四是2024年度合同计划2024年2月签订、实际于2024年4月签订，实际签订时间与上年度合同间存在2个月的断档期，延续性项目合同接续管理不够连贯、及时，项目实施进度管控有待进一步强化。</w:t>
      </w:r>
    </w:p>
    <w:p>
      <w:pPr>
        <w:spacing w:line="560" w:lineRule="exact"/>
        <w:ind w:firstLine="640" w:firstLineChars="200"/>
        <w:jc w:val="left"/>
        <w:rPr>
          <w:rFonts w:hint="eastAsia" w:ascii="仿宋_GB2312" w:hAnsi="仿宋_GB2312" w:eastAsia="仿宋_GB2312" w:cs="仿宋_GB2312"/>
          <w:bCs/>
          <w:caps/>
          <w:sz w:val="32"/>
          <w:szCs w:val="32"/>
          <w:highlight w:val="none"/>
        </w:rPr>
      </w:pPr>
      <w:r>
        <w:rPr>
          <w:rFonts w:hint="eastAsia" w:ascii="仿宋_GB2312" w:hAnsi="仿宋_GB2312" w:eastAsia="仿宋_GB2312" w:cs="仿宋_GB2312"/>
          <w:bCs/>
          <w:caps/>
          <w:sz w:val="32"/>
          <w:szCs w:val="32"/>
          <w:highlight w:val="none"/>
        </w:rPr>
        <w:t>3.项目效益发挥仍需持续追踪，满意度调查工作可进一步强化</w:t>
      </w:r>
    </w:p>
    <w:p>
      <w:pPr>
        <w:adjustRightInd w:val="0"/>
        <w:snapToGrid w:val="0"/>
        <w:spacing w:line="560" w:lineRule="exact"/>
        <w:ind w:firstLine="640" w:firstLineChars="200"/>
        <w:rPr>
          <w:rFonts w:hint="eastAsia" w:ascii="仿宋_GB2312" w:eastAsia="仿宋_GB2312"/>
          <w:iCs/>
          <w:sz w:val="32"/>
          <w:szCs w:val="32"/>
          <w:highlight w:val="none"/>
        </w:rPr>
      </w:pPr>
      <w:r>
        <w:rPr>
          <w:rFonts w:hint="eastAsia" w:ascii="仿宋_GB2312" w:eastAsia="仿宋_GB2312"/>
          <w:iCs/>
          <w:sz w:val="32"/>
          <w:szCs w:val="32"/>
          <w:highlight w:val="none"/>
        </w:rPr>
        <w:t>一是数据应用共享范围有进一步需求拓展空间，且缺少与年度需求及往年达成数据的对比情况，效益呈现充分性有待增强，</w:t>
      </w:r>
      <w:r>
        <w:rPr>
          <w:rFonts w:hint="eastAsia" w:ascii="仿宋_GB2312" w:hAnsi="宋体" w:eastAsia="仿宋_GB2312" w:cs="宋体"/>
          <w:color w:val="000000"/>
          <w:kern w:val="0"/>
          <w:sz w:val="32"/>
          <w:szCs w:val="32"/>
          <w:highlight w:val="none"/>
        </w:rPr>
        <w:t>社会数据对应用场景的支撑牵引性作用发挥不够充分，市区各级政府部门对社会数据使用和相关场景的高频率应用情况有待进一步追踪；二是主管部门对市区两级社会数据使用情况和应用绩效的考核材料呈现不够充分；三是满意度调查问题的丰富程度及对相应改进建议的分析可进一步强化。</w:t>
      </w:r>
    </w:p>
    <w:bookmarkEnd w:id="47"/>
    <w:bookmarkEnd w:id="50"/>
    <w:bookmarkEnd w:id="51"/>
    <w:p>
      <w:pPr>
        <w:adjustRightInd w:val="0"/>
        <w:snapToGrid w:val="0"/>
        <w:spacing w:line="560" w:lineRule="exact"/>
        <w:ind w:firstLine="640" w:firstLineChars="200"/>
        <w:outlineLvl w:val="0"/>
        <w:rPr>
          <w:rFonts w:ascii="Times New Roman" w:hAnsi="Times New Roman" w:eastAsia="黑体"/>
          <w:bCs/>
          <w:caps/>
          <w:sz w:val="32"/>
          <w:szCs w:val="32"/>
          <w:highlight w:val="none"/>
        </w:rPr>
      </w:pPr>
      <w:bookmarkStart w:id="53" w:name="_Toc7911"/>
      <w:bookmarkStart w:id="54" w:name="_Toc10937"/>
      <w:r>
        <w:rPr>
          <w:rFonts w:ascii="Times New Roman" w:hAnsi="Times New Roman" w:eastAsia="黑体"/>
          <w:bCs/>
          <w:caps/>
          <w:sz w:val="32"/>
          <w:szCs w:val="32"/>
          <w:highlight w:val="none"/>
        </w:rPr>
        <w:t>六、相关建议</w:t>
      </w:r>
      <w:bookmarkEnd w:id="53"/>
    </w:p>
    <w:p>
      <w:pPr>
        <w:adjustRightInd w:val="0"/>
        <w:snapToGrid w:val="0"/>
        <w:spacing w:line="560" w:lineRule="exact"/>
        <w:ind w:firstLine="640" w:firstLineChars="200"/>
        <w:outlineLvl w:val="1"/>
        <w:rPr>
          <w:rFonts w:hint="eastAsia" w:ascii="楷体_GB2312" w:eastAsia="楷体_GB2312"/>
          <w:sz w:val="32"/>
          <w:szCs w:val="32"/>
          <w:highlight w:val="none"/>
        </w:rPr>
      </w:pPr>
      <w:bookmarkStart w:id="55" w:name="_Toc101193699"/>
      <w:bookmarkStart w:id="56" w:name="_Toc130166661"/>
      <w:bookmarkStart w:id="57" w:name="_Toc22256"/>
      <w:bookmarkStart w:id="58" w:name="_Hlk136518791"/>
      <w:r>
        <w:rPr>
          <w:rFonts w:hint="eastAsia" w:ascii="楷体_GB2312" w:eastAsia="楷体_GB2312"/>
          <w:sz w:val="32"/>
          <w:szCs w:val="32"/>
          <w:highlight w:val="none"/>
        </w:rPr>
        <w:t>（一）</w:t>
      </w:r>
      <w:bookmarkEnd w:id="55"/>
      <w:bookmarkEnd w:id="56"/>
      <w:bookmarkStart w:id="59" w:name="_Toc10548"/>
      <w:bookmarkStart w:id="60" w:name="_Toc11068"/>
      <w:r>
        <w:rPr>
          <w:rFonts w:hint="eastAsia" w:ascii="楷体_GB2312" w:eastAsia="楷体_GB2312"/>
          <w:sz w:val="32"/>
          <w:szCs w:val="32"/>
          <w:highlight w:val="none"/>
        </w:rPr>
        <w:t>坚持需求导向，提升预算编制</w:t>
      </w:r>
      <w:bookmarkEnd w:id="59"/>
      <w:bookmarkEnd w:id="60"/>
      <w:r>
        <w:rPr>
          <w:rFonts w:hint="eastAsia" w:ascii="楷体_GB2312" w:eastAsia="楷体_GB2312"/>
          <w:sz w:val="32"/>
          <w:szCs w:val="32"/>
          <w:highlight w:val="none"/>
        </w:rPr>
        <w:t>科学性与精准性</w:t>
      </w:r>
      <w:bookmarkEnd w:id="57"/>
    </w:p>
    <w:p>
      <w:pPr>
        <w:adjustRightInd w:val="0"/>
        <w:snapToGrid w:val="0"/>
        <w:spacing w:line="560" w:lineRule="exact"/>
        <w:ind w:firstLine="640" w:firstLineChars="200"/>
        <w:rPr>
          <w:rFonts w:hint="eastAsia" w:ascii="仿宋_GB2312" w:hAnsi="黑体" w:eastAsia="仿宋_GB2312"/>
          <w:iCs/>
          <w:sz w:val="32"/>
          <w:szCs w:val="32"/>
          <w:highlight w:val="none"/>
        </w:rPr>
      </w:pPr>
      <w:r>
        <w:rPr>
          <w:rFonts w:hint="eastAsia" w:ascii="仿宋_GB2312" w:hAnsi="黑体" w:eastAsia="仿宋_GB2312"/>
          <w:iCs/>
          <w:sz w:val="32"/>
          <w:szCs w:val="32"/>
          <w:highlight w:val="none"/>
        </w:rPr>
        <w:t>一是建议完善项目前期需求论证机制，提前开展充分的需求调研，补充数据需求调研问卷及需求汇总分析表作为预算编制依据，围绕实际需求全面梳理年度工作任务清单，确保预算内容与实际支出需求的匹配性；二是在结合运营商报价的基础上，发挥项目单位的主体责任作用，加强对不同运营商技术标准及价格体系的比较，统一同类同质服务的测算标准，并加强测算内容与产出内容的对应性、匹配性。</w:t>
      </w:r>
    </w:p>
    <w:p>
      <w:pPr>
        <w:adjustRightInd w:val="0"/>
        <w:snapToGrid w:val="0"/>
        <w:spacing w:line="560" w:lineRule="exact"/>
        <w:ind w:firstLine="640" w:firstLineChars="200"/>
        <w:outlineLvl w:val="1"/>
        <w:rPr>
          <w:rFonts w:hint="eastAsia" w:ascii="楷体_GB2312" w:eastAsia="楷体_GB2312"/>
          <w:sz w:val="32"/>
          <w:szCs w:val="32"/>
          <w:highlight w:val="none"/>
        </w:rPr>
      </w:pPr>
      <w:bookmarkStart w:id="61" w:name="_Toc31229"/>
      <w:r>
        <w:rPr>
          <w:rFonts w:hint="eastAsia" w:ascii="楷体_GB2312" w:eastAsia="楷体_GB2312"/>
          <w:sz w:val="32"/>
          <w:szCs w:val="32"/>
          <w:highlight w:val="none"/>
        </w:rPr>
        <w:t>（二）完善制度体系与独立第三方管控机制，</w:t>
      </w:r>
      <w:r>
        <w:rPr>
          <w:rFonts w:ascii="楷体_GB2312" w:eastAsia="楷体_GB2312"/>
          <w:sz w:val="32"/>
          <w:szCs w:val="32"/>
          <w:highlight w:val="none"/>
        </w:rPr>
        <w:t>优化延续性项目合同周期管理机制</w:t>
      </w:r>
      <w:r>
        <w:rPr>
          <w:rFonts w:hint="eastAsia" w:ascii="楷体_GB2312" w:eastAsia="楷体_GB2312"/>
          <w:sz w:val="32"/>
          <w:szCs w:val="32"/>
          <w:highlight w:val="none"/>
        </w:rPr>
        <w:t>，提升社会数据统采共用的规范化与协同性</w:t>
      </w:r>
      <w:bookmarkEnd w:id="61"/>
    </w:p>
    <w:p>
      <w:pPr>
        <w:adjustRightInd w:val="0"/>
        <w:snapToGrid w:val="0"/>
        <w:spacing w:line="560" w:lineRule="exact"/>
        <w:ind w:firstLine="640" w:firstLineChars="200"/>
        <w:jc w:val="left"/>
        <w:rPr>
          <w:rFonts w:hint="eastAsia" w:ascii="仿宋_GB2312" w:hAnsi="黑体" w:eastAsia="仿宋_GB2312"/>
          <w:iCs/>
          <w:sz w:val="32"/>
          <w:szCs w:val="32"/>
          <w:highlight w:val="none"/>
        </w:rPr>
      </w:pPr>
      <w:r>
        <w:rPr>
          <w:rFonts w:hint="eastAsia" w:ascii="仿宋_GB2312" w:hAnsi="黑体" w:eastAsia="仿宋_GB2312"/>
          <w:iCs/>
          <w:sz w:val="32"/>
          <w:szCs w:val="32"/>
          <w:highlight w:val="none"/>
        </w:rPr>
        <w:t>一是加强对现有管理工作经验的总体提炼，加快出台社会数据统采共用正式管理办法，进一步明确、优化工作流程，制定详细的操作规范，确保项目各实施主体高效配合；二是在进一步论证第三方监管机构的必要性的基础上，建议探索研究由项目单位确定第三方数据安全监管单位的机制，保证第三方数据安全监管单位的独立性，并相应明确监管标准；三是建议建立“统采-自采”数据联动管控清单，建立统采数据共享目录与自采数据备案机制，通过定期召开部门联席会议、搭建数据采购管理平台等方式，动态监控两类数据的采集重叠情况，避免重复采购与资源浪费，强化对数据采集必要性、经济性及合规性的全流程管控，提升数据资源统筹利用效率；四是优化合同周期管理，提前梳理技术方案、预算调整、合规审查等前置条件，为采购程序开展、新一期合同签订留出充足时间，同时，建立延续性项目过渡期预案，确保服务无缝衔接。</w:t>
      </w:r>
    </w:p>
    <w:p>
      <w:pPr>
        <w:adjustRightInd w:val="0"/>
        <w:snapToGrid w:val="0"/>
        <w:spacing w:line="560" w:lineRule="exact"/>
        <w:ind w:firstLine="640" w:firstLineChars="200"/>
        <w:outlineLvl w:val="1"/>
        <w:rPr>
          <w:rFonts w:ascii="Times New Roman" w:hAnsi="Times New Roman" w:eastAsia="楷体"/>
          <w:caps/>
          <w:sz w:val="32"/>
          <w:szCs w:val="32"/>
          <w:highlight w:val="none"/>
        </w:rPr>
      </w:pPr>
      <w:bookmarkStart w:id="62" w:name="_Toc28361"/>
      <w:r>
        <w:rPr>
          <w:rFonts w:ascii="Times New Roman" w:hAnsi="Times New Roman" w:eastAsia="楷体"/>
          <w:caps/>
          <w:sz w:val="32"/>
          <w:szCs w:val="32"/>
          <w:highlight w:val="none"/>
        </w:rPr>
        <w:t>（</w:t>
      </w:r>
      <w:r>
        <w:rPr>
          <w:rFonts w:hint="eastAsia" w:ascii="Times New Roman" w:hAnsi="Times New Roman" w:eastAsia="楷体"/>
          <w:caps/>
          <w:sz w:val="32"/>
          <w:szCs w:val="32"/>
          <w:highlight w:val="none"/>
        </w:rPr>
        <w:t>三</w:t>
      </w:r>
      <w:r>
        <w:rPr>
          <w:rFonts w:ascii="Times New Roman" w:hAnsi="Times New Roman" w:eastAsia="楷体"/>
          <w:caps/>
          <w:sz w:val="32"/>
          <w:szCs w:val="32"/>
          <w:highlight w:val="none"/>
        </w:rPr>
        <w:t>）</w:t>
      </w:r>
      <w:r>
        <w:rPr>
          <w:rFonts w:hint="eastAsia" w:ascii="Times New Roman" w:hAnsi="Times New Roman" w:eastAsia="楷体"/>
          <w:caps/>
          <w:sz w:val="32"/>
          <w:szCs w:val="32"/>
          <w:highlight w:val="none"/>
        </w:rPr>
        <w:t>加强效益数据持续追踪及挖掘分析，强化满意度管理及绩效考核材料的呈现</w:t>
      </w:r>
      <w:bookmarkEnd w:id="62"/>
    </w:p>
    <w:p>
      <w:pPr>
        <w:adjustRightInd w:val="0"/>
        <w:snapToGrid w:val="0"/>
        <w:spacing w:line="560" w:lineRule="exact"/>
        <w:ind w:left="0" w:leftChars="0" w:firstLine="640" w:firstLineChars="200"/>
        <w:rPr>
          <w:rFonts w:ascii="Times New Roman" w:hAnsi="Times New Roman"/>
          <w:highlight w:val="none"/>
        </w:rPr>
      </w:pPr>
      <w:bookmarkStart w:id="63" w:name="_Hlk130165429"/>
      <w:r>
        <w:rPr>
          <w:rFonts w:hint="eastAsia" w:ascii="仿宋_GB2312" w:eastAsia="仿宋_GB2312"/>
          <w:sz w:val="32"/>
          <w:szCs w:val="32"/>
          <w:highlight w:val="none"/>
        </w:rPr>
        <w:t>一是建立数据应用动态评估机制，定期对比年度需求与历史数据成效，形成可视化分析报告，重点追踪高频应用场景的数据支撑效果；二是完善市区两级数据应用及统筹管理考核体系，将数据使用</w:t>
      </w:r>
      <w:r>
        <w:rPr>
          <w:rFonts w:hint="eastAsia" w:ascii="仿宋_GB2312" w:hAnsi="黑体" w:eastAsia="仿宋_GB2312"/>
          <w:iCs/>
          <w:sz w:val="32"/>
          <w:szCs w:val="32"/>
          <w:highlight w:val="none"/>
        </w:rPr>
        <w:t>绩效</w:t>
      </w:r>
      <w:r>
        <w:rPr>
          <w:rFonts w:hint="eastAsia" w:ascii="仿宋_GB2312" w:eastAsia="仿宋_GB2312"/>
          <w:sz w:val="32"/>
          <w:szCs w:val="32"/>
          <w:highlight w:val="none"/>
        </w:rPr>
        <w:t>纳入部门年度考核指标；三是结合项目内容细化满意度调查问卷，针对不同层级用户设计差异化问卷，加强对相关建议的统计分析，为进一步明确改进方面提供支撑。</w:t>
      </w:r>
      <w:bookmarkEnd w:id="54"/>
      <w:bookmarkEnd w:id="58"/>
      <w:bookmarkEnd w:id="63"/>
    </w:p>
    <w:sectPr>
      <w:footerReference r:id="rId8" w:type="default"/>
      <w:footnotePr>
        <w:numFmt w:val="decimalEnclosedCircleChinese"/>
      </w:footnote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Times New Roman Regular">
    <w:altName w:val="DejaVu Sans"/>
    <w:panose1 w:val="00000000000000000000"/>
    <w:charset w:val="00"/>
    <w:family w:val="auto"/>
    <w:pitch w:val="default"/>
    <w:sig w:usb0="00000000" w:usb1="00000000"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文泉驿微米黑">
    <w:panose1 w:val="020B0606030804020204"/>
    <w:charset w:val="86"/>
    <w:family w:val="auto"/>
    <w:pitch w:val="default"/>
    <w:sig w:usb0="E10002EF" w:usb1="6BDFFCFB" w:usb2="00800036" w:usb3="00000000" w:csb0="603E019F" w:csb1="DFD7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rPr>
    </w:pPr>
  </w:p>
  <w:p>
    <w:pPr>
      <w:pStyle w:val="7"/>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80"/>
      <w:jc w:val="center"/>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II</w:t>
    </w:r>
    <w:r>
      <w:rPr>
        <w:rFonts w:ascii="宋体" w:hAnsi="宋体"/>
        <w:sz w:val="28"/>
        <w:szCs w:val="28"/>
      </w:rPr>
      <w:fldChar w:fldCharType="end"/>
    </w:r>
  </w:p>
  <w:p>
    <w:pPr>
      <w:pStyle w:val="7"/>
      <w:rPr>
        <w:rFonts w:hint="eastAsia"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8313489"/>
    </w:sdtPr>
    <w:sdtEndPr>
      <w:rPr>
        <w:rFonts w:asciiTheme="minorEastAsia" w:hAnsiTheme="minorEastAsia" w:eastAsiaTheme="minorEastAsia"/>
        <w:sz w:val="28"/>
        <w:szCs w:val="28"/>
      </w:rPr>
    </w:sdtEndPr>
    <w:sdtContent>
      <w:p>
        <w:pPr>
          <w:pStyle w:val="7"/>
          <w:jc w:val="center"/>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16</w:t>
        </w:r>
        <w:r>
          <w:rPr>
            <w:rFonts w:asciiTheme="minorEastAsia" w:hAnsiTheme="minorEastAsia" w:eastAsiaTheme="minorEastAsia"/>
            <w:sz w:val="28"/>
            <w:szCs w:val="28"/>
          </w:rPr>
          <w:fldChar w:fldCharType="end"/>
        </w:r>
      </w:p>
    </w:sdtContent>
  </w:sdt>
  <w:p>
    <w:pPr>
      <w:pStyle w:val="7"/>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9395792"/>
    </w:sdtPr>
    <w:sdtEndPr>
      <w:rPr>
        <w:rFonts w:asciiTheme="minorEastAsia" w:hAnsiTheme="minorEastAsia" w:eastAsiaTheme="minorEastAsia"/>
        <w:sz w:val="28"/>
        <w:szCs w:val="28"/>
      </w:rPr>
    </w:sdtEndPr>
    <w:sdtContent>
      <w:p>
        <w:pPr>
          <w:pStyle w:val="7"/>
          <w:jc w:val="center"/>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16</w:t>
        </w:r>
        <w:r>
          <w:rPr>
            <w:rFonts w:asciiTheme="minorEastAsia" w:hAnsiTheme="minorEastAsia" w:eastAsiaTheme="minorEastAsia"/>
            <w:sz w:val="28"/>
            <w:szCs w:val="28"/>
          </w:rPr>
          <w:fldChar w:fldCharType="end"/>
        </w:r>
      </w:p>
    </w:sdtContent>
  </w:sdt>
  <w:p>
    <w:pPr>
      <w:pStyle w:val="7"/>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83567"/>
    </w:sdtPr>
    <w:sdtEndPr>
      <w:rPr>
        <w:rFonts w:asciiTheme="minorEastAsia" w:hAnsiTheme="minorEastAsia" w:eastAsiaTheme="minorEastAsia"/>
        <w:sz w:val="28"/>
        <w:szCs w:val="28"/>
      </w:rPr>
    </w:sdtEndPr>
    <w:sdtContent>
      <w:p>
        <w:pPr>
          <w:pStyle w:val="7"/>
          <w:jc w:val="center"/>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16</w:t>
        </w:r>
        <w:r>
          <w:rPr>
            <w:rFonts w:asciiTheme="minorEastAsia" w:hAnsiTheme="minorEastAsia" w:eastAsiaTheme="minorEastAsia"/>
            <w:sz w:val="28"/>
            <w:szCs w:val="28"/>
          </w:rPr>
          <w:fldChar w:fldCharType="end"/>
        </w:r>
      </w:p>
    </w:sdtContent>
  </w:sdt>
  <w:p>
    <w:pPr>
      <w:pStyle w:val="7"/>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1NzhmZWFiZWZmMTBlNWE3MDE4NzgzODMzZGY3MjEifQ=="/>
  </w:docVars>
  <w:rsids>
    <w:rsidRoot w:val="00BA581F"/>
    <w:rsid w:val="00001C89"/>
    <w:rsid w:val="000020E2"/>
    <w:rsid w:val="00002C36"/>
    <w:rsid w:val="00005967"/>
    <w:rsid w:val="00007362"/>
    <w:rsid w:val="00013CBC"/>
    <w:rsid w:val="00015AE5"/>
    <w:rsid w:val="000226D8"/>
    <w:rsid w:val="00022885"/>
    <w:rsid w:val="000244D7"/>
    <w:rsid w:val="00026669"/>
    <w:rsid w:val="000312FE"/>
    <w:rsid w:val="00031B30"/>
    <w:rsid w:val="00032047"/>
    <w:rsid w:val="000326DD"/>
    <w:rsid w:val="000327CD"/>
    <w:rsid w:val="000329B6"/>
    <w:rsid w:val="00033117"/>
    <w:rsid w:val="000351A9"/>
    <w:rsid w:val="00037F41"/>
    <w:rsid w:val="0004040C"/>
    <w:rsid w:val="00041F60"/>
    <w:rsid w:val="0004425F"/>
    <w:rsid w:val="00045D53"/>
    <w:rsid w:val="000469DB"/>
    <w:rsid w:val="00047F7E"/>
    <w:rsid w:val="00050624"/>
    <w:rsid w:val="00053F4C"/>
    <w:rsid w:val="0005414B"/>
    <w:rsid w:val="00054788"/>
    <w:rsid w:val="00054D82"/>
    <w:rsid w:val="00060021"/>
    <w:rsid w:val="000607E3"/>
    <w:rsid w:val="00061AD2"/>
    <w:rsid w:val="0006269B"/>
    <w:rsid w:val="00066C2B"/>
    <w:rsid w:val="00067359"/>
    <w:rsid w:val="00072782"/>
    <w:rsid w:val="000727AB"/>
    <w:rsid w:val="000751E6"/>
    <w:rsid w:val="00075380"/>
    <w:rsid w:val="0007771C"/>
    <w:rsid w:val="0008170B"/>
    <w:rsid w:val="00086291"/>
    <w:rsid w:val="000864E3"/>
    <w:rsid w:val="00086D28"/>
    <w:rsid w:val="000873BE"/>
    <w:rsid w:val="000877AE"/>
    <w:rsid w:val="0009031D"/>
    <w:rsid w:val="00090FFF"/>
    <w:rsid w:val="0009131B"/>
    <w:rsid w:val="00092AC4"/>
    <w:rsid w:val="0009390B"/>
    <w:rsid w:val="00097722"/>
    <w:rsid w:val="000977EE"/>
    <w:rsid w:val="000A0008"/>
    <w:rsid w:val="000A0476"/>
    <w:rsid w:val="000A3543"/>
    <w:rsid w:val="000A60BB"/>
    <w:rsid w:val="000A615A"/>
    <w:rsid w:val="000A7AA9"/>
    <w:rsid w:val="000B0DFA"/>
    <w:rsid w:val="000B324C"/>
    <w:rsid w:val="000B3321"/>
    <w:rsid w:val="000B390F"/>
    <w:rsid w:val="000B4E47"/>
    <w:rsid w:val="000B53B4"/>
    <w:rsid w:val="000B7108"/>
    <w:rsid w:val="000C09F5"/>
    <w:rsid w:val="000C33EB"/>
    <w:rsid w:val="000C3F35"/>
    <w:rsid w:val="000C4588"/>
    <w:rsid w:val="000C52F3"/>
    <w:rsid w:val="000C644C"/>
    <w:rsid w:val="000C73E2"/>
    <w:rsid w:val="000C749F"/>
    <w:rsid w:val="000C767A"/>
    <w:rsid w:val="000D0119"/>
    <w:rsid w:val="000D0D7B"/>
    <w:rsid w:val="000D2258"/>
    <w:rsid w:val="000D5A24"/>
    <w:rsid w:val="000E1076"/>
    <w:rsid w:val="000E48E3"/>
    <w:rsid w:val="000E54FC"/>
    <w:rsid w:val="000E5EA8"/>
    <w:rsid w:val="000E5FBE"/>
    <w:rsid w:val="000E70DC"/>
    <w:rsid w:val="000E73CB"/>
    <w:rsid w:val="000F0F75"/>
    <w:rsid w:val="000F2FEA"/>
    <w:rsid w:val="000F31A4"/>
    <w:rsid w:val="000F40F4"/>
    <w:rsid w:val="000F4641"/>
    <w:rsid w:val="000F5FAB"/>
    <w:rsid w:val="000F6528"/>
    <w:rsid w:val="001002E2"/>
    <w:rsid w:val="00101C54"/>
    <w:rsid w:val="0010292C"/>
    <w:rsid w:val="00102C98"/>
    <w:rsid w:val="00102FB1"/>
    <w:rsid w:val="00104FBD"/>
    <w:rsid w:val="001058E6"/>
    <w:rsid w:val="00106B3D"/>
    <w:rsid w:val="00106E5A"/>
    <w:rsid w:val="00110A9B"/>
    <w:rsid w:val="00111331"/>
    <w:rsid w:val="00111349"/>
    <w:rsid w:val="00111634"/>
    <w:rsid w:val="00111955"/>
    <w:rsid w:val="001127C7"/>
    <w:rsid w:val="00112D78"/>
    <w:rsid w:val="0011363D"/>
    <w:rsid w:val="00113C35"/>
    <w:rsid w:val="00113E42"/>
    <w:rsid w:val="00114B8A"/>
    <w:rsid w:val="00116F35"/>
    <w:rsid w:val="001221D7"/>
    <w:rsid w:val="001234D8"/>
    <w:rsid w:val="00125559"/>
    <w:rsid w:val="00126976"/>
    <w:rsid w:val="00127BE7"/>
    <w:rsid w:val="00130618"/>
    <w:rsid w:val="00131CDF"/>
    <w:rsid w:val="001326C4"/>
    <w:rsid w:val="0013272D"/>
    <w:rsid w:val="00135C83"/>
    <w:rsid w:val="0013758E"/>
    <w:rsid w:val="00137D28"/>
    <w:rsid w:val="00141A2E"/>
    <w:rsid w:val="00141D93"/>
    <w:rsid w:val="00142594"/>
    <w:rsid w:val="00142C92"/>
    <w:rsid w:val="001439C3"/>
    <w:rsid w:val="00145219"/>
    <w:rsid w:val="00145DC9"/>
    <w:rsid w:val="00146626"/>
    <w:rsid w:val="00146B43"/>
    <w:rsid w:val="00147BBF"/>
    <w:rsid w:val="00147C4E"/>
    <w:rsid w:val="0015343D"/>
    <w:rsid w:val="00155D44"/>
    <w:rsid w:val="00156206"/>
    <w:rsid w:val="00157B4B"/>
    <w:rsid w:val="00160D58"/>
    <w:rsid w:val="00163025"/>
    <w:rsid w:val="001631EE"/>
    <w:rsid w:val="00164D4E"/>
    <w:rsid w:val="00164FAA"/>
    <w:rsid w:val="00170719"/>
    <w:rsid w:val="001721EB"/>
    <w:rsid w:val="00173BAE"/>
    <w:rsid w:val="001748B7"/>
    <w:rsid w:val="00176BFC"/>
    <w:rsid w:val="001775BF"/>
    <w:rsid w:val="00185FFC"/>
    <w:rsid w:val="00187D17"/>
    <w:rsid w:val="00192D50"/>
    <w:rsid w:val="00193726"/>
    <w:rsid w:val="00194BC9"/>
    <w:rsid w:val="00195175"/>
    <w:rsid w:val="00195767"/>
    <w:rsid w:val="00195BBC"/>
    <w:rsid w:val="00196744"/>
    <w:rsid w:val="00197056"/>
    <w:rsid w:val="0019733F"/>
    <w:rsid w:val="001A0EFF"/>
    <w:rsid w:val="001A3CA9"/>
    <w:rsid w:val="001A5669"/>
    <w:rsid w:val="001A6D8A"/>
    <w:rsid w:val="001B30F9"/>
    <w:rsid w:val="001B33AE"/>
    <w:rsid w:val="001B3788"/>
    <w:rsid w:val="001B40FA"/>
    <w:rsid w:val="001B499A"/>
    <w:rsid w:val="001B7123"/>
    <w:rsid w:val="001B7E95"/>
    <w:rsid w:val="001C1ABF"/>
    <w:rsid w:val="001C2038"/>
    <w:rsid w:val="001C2FF2"/>
    <w:rsid w:val="001C3CB9"/>
    <w:rsid w:val="001C47F7"/>
    <w:rsid w:val="001C5294"/>
    <w:rsid w:val="001C593B"/>
    <w:rsid w:val="001C6023"/>
    <w:rsid w:val="001C617B"/>
    <w:rsid w:val="001C7BD3"/>
    <w:rsid w:val="001D2061"/>
    <w:rsid w:val="001D25D6"/>
    <w:rsid w:val="001D2C3A"/>
    <w:rsid w:val="001D35F9"/>
    <w:rsid w:val="001D4C75"/>
    <w:rsid w:val="001D5B99"/>
    <w:rsid w:val="001E1118"/>
    <w:rsid w:val="001E59F7"/>
    <w:rsid w:val="001E6C3D"/>
    <w:rsid w:val="001E718B"/>
    <w:rsid w:val="001E7A34"/>
    <w:rsid w:val="001F0347"/>
    <w:rsid w:val="001F1675"/>
    <w:rsid w:val="001F6CCF"/>
    <w:rsid w:val="001F769B"/>
    <w:rsid w:val="00201347"/>
    <w:rsid w:val="002053E2"/>
    <w:rsid w:val="002053FC"/>
    <w:rsid w:val="002054F4"/>
    <w:rsid w:val="002056B7"/>
    <w:rsid w:val="00205878"/>
    <w:rsid w:val="002075A3"/>
    <w:rsid w:val="00207B7B"/>
    <w:rsid w:val="0021080F"/>
    <w:rsid w:val="00210B68"/>
    <w:rsid w:val="002112C2"/>
    <w:rsid w:val="002114BD"/>
    <w:rsid w:val="00212AE6"/>
    <w:rsid w:val="00213603"/>
    <w:rsid w:val="00215781"/>
    <w:rsid w:val="002157A1"/>
    <w:rsid w:val="0021581B"/>
    <w:rsid w:val="002170CA"/>
    <w:rsid w:val="002210DF"/>
    <w:rsid w:val="00227D72"/>
    <w:rsid w:val="002305EB"/>
    <w:rsid w:val="002308E6"/>
    <w:rsid w:val="00233C2D"/>
    <w:rsid w:val="00236B15"/>
    <w:rsid w:val="00237C20"/>
    <w:rsid w:val="002406A7"/>
    <w:rsid w:val="00240753"/>
    <w:rsid w:val="00241617"/>
    <w:rsid w:val="00242DB8"/>
    <w:rsid w:val="00243C07"/>
    <w:rsid w:val="00243EFC"/>
    <w:rsid w:val="002447FE"/>
    <w:rsid w:val="002468F5"/>
    <w:rsid w:val="00247E7A"/>
    <w:rsid w:val="0025092F"/>
    <w:rsid w:val="00253836"/>
    <w:rsid w:val="00253F91"/>
    <w:rsid w:val="00254BFE"/>
    <w:rsid w:val="002555F0"/>
    <w:rsid w:val="00255767"/>
    <w:rsid w:val="00261036"/>
    <w:rsid w:val="00262237"/>
    <w:rsid w:val="002625F1"/>
    <w:rsid w:val="002626D8"/>
    <w:rsid w:val="00264639"/>
    <w:rsid w:val="00265382"/>
    <w:rsid w:val="00266B96"/>
    <w:rsid w:val="002677EF"/>
    <w:rsid w:val="0027027D"/>
    <w:rsid w:val="0027072B"/>
    <w:rsid w:val="002715D7"/>
    <w:rsid w:val="00272429"/>
    <w:rsid w:val="00275325"/>
    <w:rsid w:val="0027571C"/>
    <w:rsid w:val="0027685F"/>
    <w:rsid w:val="00276B56"/>
    <w:rsid w:val="00276D87"/>
    <w:rsid w:val="0027745E"/>
    <w:rsid w:val="00280C85"/>
    <w:rsid w:val="00281AC3"/>
    <w:rsid w:val="00283BF4"/>
    <w:rsid w:val="00284490"/>
    <w:rsid w:val="00284ECA"/>
    <w:rsid w:val="00287188"/>
    <w:rsid w:val="00294488"/>
    <w:rsid w:val="00295854"/>
    <w:rsid w:val="00295BC8"/>
    <w:rsid w:val="002A0A1F"/>
    <w:rsid w:val="002A0F52"/>
    <w:rsid w:val="002A1F04"/>
    <w:rsid w:val="002A2B2A"/>
    <w:rsid w:val="002A3A75"/>
    <w:rsid w:val="002B293E"/>
    <w:rsid w:val="002B2EE4"/>
    <w:rsid w:val="002B35C0"/>
    <w:rsid w:val="002B541D"/>
    <w:rsid w:val="002B54C5"/>
    <w:rsid w:val="002B59D6"/>
    <w:rsid w:val="002B5B2D"/>
    <w:rsid w:val="002B636E"/>
    <w:rsid w:val="002B6D9F"/>
    <w:rsid w:val="002B74E4"/>
    <w:rsid w:val="002B75F3"/>
    <w:rsid w:val="002B7BE6"/>
    <w:rsid w:val="002B7D10"/>
    <w:rsid w:val="002B7EEE"/>
    <w:rsid w:val="002C7DDF"/>
    <w:rsid w:val="002D0E7F"/>
    <w:rsid w:val="002D25A8"/>
    <w:rsid w:val="002D39B0"/>
    <w:rsid w:val="002D3BA0"/>
    <w:rsid w:val="002D5923"/>
    <w:rsid w:val="002D6053"/>
    <w:rsid w:val="002D6B0A"/>
    <w:rsid w:val="002D70C8"/>
    <w:rsid w:val="002E0976"/>
    <w:rsid w:val="002E2DDA"/>
    <w:rsid w:val="002E4F70"/>
    <w:rsid w:val="002E5282"/>
    <w:rsid w:val="002F02CB"/>
    <w:rsid w:val="002F055E"/>
    <w:rsid w:val="002F08B7"/>
    <w:rsid w:val="002F323E"/>
    <w:rsid w:val="002F68FB"/>
    <w:rsid w:val="002F7AA3"/>
    <w:rsid w:val="003011D5"/>
    <w:rsid w:val="00302278"/>
    <w:rsid w:val="0030527A"/>
    <w:rsid w:val="003059A1"/>
    <w:rsid w:val="00311A05"/>
    <w:rsid w:val="003143D1"/>
    <w:rsid w:val="00315236"/>
    <w:rsid w:val="00315E59"/>
    <w:rsid w:val="00315FA0"/>
    <w:rsid w:val="00316D45"/>
    <w:rsid w:val="0031720E"/>
    <w:rsid w:val="0031753C"/>
    <w:rsid w:val="0032487A"/>
    <w:rsid w:val="00324BC1"/>
    <w:rsid w:val="00326F7C"/>
    <w:rsid w:val="0032772D"/>
    <w:rsid w:val="00327D7D"/>
    <w:rsid w:val="003320F4"/>
    <w:rsid w:val="00333AAA"/>
    <w:rsid w:val="00337794"/>
    <w:rsid w:val="0034159A"/>
    <w:rsid w:val="003416B5"/>
    <w:rsid w:val="00342F10"/>
    <w:rsid w:val="003438BE"/>
    <w:rsid w:val="00344AB2"/>
    <w:rsid w:val="0034592A"/>
    <w:rsid w:val="00347214"/>
    <w:rsid w:val="00350C59"/>
    <w:rsid w:val="00351E16"/>
    <w:rsid w:val="0035294F"/>
    <w:rsid w:val="00354FCC"/>
    <w:rsid w:val="00355F33"/>
    <w:rsid w:val="0035713A"/>
    <w:rsid w:val="0035731C"/>
    <w:rsid w:val="003573A8"/>
    <w:rsid w:val="003575E0"/>
    <w:rsid w:val="0036087D"/>
    <w:rsid w:val="003609E6"/>
    <w:rsid w:val="00363D51"/>
    <w:rsid w:val="00364332"/>
    <w:rsid w:val="00370FFD"/>
    <w:rsid w:val="00371328"/>
    <w:rsid w:val="00371700"/>
    <w:rsid w:val="00371A76"/>
    <w:rsid w:val="00371C5A"/>
    <w:rsid w:val="00372F4F"/>
    <w:rsid w:val="00373165"/>
    <w:rsid w:val="003745E1"/>
    <w:rsid w:val="0037511D"/>
    <w:rsid w:val="00375D53"/>
    <w:rsid w:val="00376964"/>
    <w:rsid w:val="0038125B"/>
    <w:rsid w:val="003817AD"/>
    <w:rsid w:val="0038205B"/>
    <w:rsid w:val="0038217C"/>
    <w:rsid w:val="00383985"/>
    <w:rsid w:val="00386F6C"/>
    <w:rsid w:val="003906DC"/>
    <w:rsid w:val="003918DC"/>
    <w:rsid w:val="00391958"/>
    <w:rsid w:val="00391975"/>
    <w:rsid w:val="00392BF2"/>
    <w:rsid w:val="0039616E"/>
    <w:rsid w:val="0039757A"/>
    <w:rsid w:val="003975D6"/>
    <w:rsid w:val="003976F1"/>
    <w:rsid w:val="0039790D"/>
    <w:rsid w:val="003A01FF"/>
    <w:rsid w:val="003A076A"/>
    <w:rsid w:val="003A09EB"/>
    <w:rsid w:val="003A1984"/>
    <w:rsid w:val="003A219C"/>
    <w:rsid w:val="003A3736"/>
    <w:rsid w:val="003A431C"/>
    <w:rsid w:val="003B0EA6"/>
    <w:rsid w:val="003B3418"/>
    <w:rsid w:val="003B77F2"/>
    <w:rsid w:val="003C1DCD"/>
    <w:rsid w:val="003C393A"/>
    <w:rsid w:val="003C3A01"/>
    <w:rsid w:val="003C3F01"/>
    <w:rsid w:val="003C6B9E"/>
    <w:rsid w:val="003C7733"/>
    <w:rsid w:val="003D058D"/>
    <w:rsid w:val="003D0DFE"/>
    <w:rsid w:val="003D1AA0"/>
    <w:rsid w:val="003D1BCD"/>
    <w:rsid w:val="003D34E7"/>
    <w:rsid w:val="003D47AD"/>
    <w:rsid w:val="003D5C06"/>
    <w:rsid w:val="003D64EB"/>
    <w:rsid w:val="003D6B32"/>
    <w:rsid w:val="003D6BD8"/>
    <w:rsid w:val="003D6F23"/>
    <w:rsid w:val="003D726B"/>
    <w:rsid w:val="003E2285"/>
    <w:rsid w:val="003E2891"/>
    <w:rsid w:val="003E31A3"/>
    <w:rsid w:val="003E355E"/>
    <w:rsid w:val="003E549B"/>
    <w:rsid w:val="003E5A29"/>
    <w:rsid w:val="003E5B98"/>
    <w:rsid w:val="003E783B"/>
    <w:rsid w:val="003F4B7F"/>
    <w:rsid w:val="003F6047"/>
    <w:rsid w:val="003F72A3"/>
    <w:rsid w:val="003F7B1A"/>
    <w:rsid w:val="004000B1"/>
    <w:rsid w:val="00400739"/>
    <w:rsid w:val="00401648"/>
    <w:rsid w:val="00405F86"/>
    <w:rsid w:val="0041014B"/>
    <w:rsid w:val="00411029"/>
    <w:rsid w:val="004128C4"/>
    <w:rsid w:val="00412B3B"/>
    <w:rsid w:val="004134C3"/>
    <w:rsid w:val="00414691"/>
    <w:rsid w:val="00414746"/>
    <w:rsid w:val="00415E43"/>
    <w:rsid w:val="00417A68"/>
    <w:rsid w:val="0042029E"/>
    <w:rsid w:val="004214B6"/>
    <w:rsid w:val="00424E3B"/>
    <w:rsid w:val="00426FAC"/>
    <w:rsid w:val="00432A33"/>
    <w:rsid w:val="00432EB2"/>
    <w:rsid w:val="0043403A"/>
    <w:rsid w:val="00437EDD"/>
    <w:rsid w:val="004476A5"/>
    <w:rsid w:val="00450E2A"/>
    <w:rsid w:val="00450F38"/>
    <w:rsid w:val="00451CAC"/>
    <w:rsid w:val="00454973"/>
    <w:rsid w:val="00454A32"/>
    <w:rsid w:val="0045649E"/>
    <w:rsid w:val="004566F5"/>
    <w:rsid w:val="00457368"/>
    <w:rsid w:val="00461CC3"/>
    <w:rsid w:val="00461E45"/>
    <w:rsid w:val="00463B3F"/>
    <w:rsid w:val="00465F9A"/>
    <w:rsid w:val="0046728F"/>
    <w:rsid w:val="00471AF9"/>
    <w:rsid w:val="00473115"/>
    <w:rsid w:val="0047509F"/>
    <w:rsid w:val="00475E01"/>
    <w:rsid w:val="00482AE1"/>
    <w:rsid w:val="00483ADB"/>
    <w:rsid w:val="00484B5D"/>
    <w:rsid w:val="00485F03"/>
    <w:rsid w:val="004874BC"/>
    <w:rsid w:val="004925AB"/>
    <w:rsid w:val="00492F44"/>
    <w:rsid w:val="00493D34"/>
    <w:rsid w:val="00494C98"/>
    <w:rsid w:val="004968A5"/>
    <w:rsid w:val="0049785B"/>
    <w:rsid w:val="00497CD3"/>
    <w:rsid w:val="004A14A1"/>
    <w:rsid w:val="004A1856"/>
    <w:rsid w:val="004A2CF7"/>
    <w:rsid w:val="004A60EB"/>
    <w:rsid w:val="004A68A8"/>
    <w:rsid w:val="004A6BEA"/>
    <w:rsid w:val="004B309D"/>
    <w:rsid w:val="004B5D43"/>
    <w:rsid w:val="004B7090"/>
    <w:rsid w:val="004B7AB9"/>
    <w:rsid w:val="004C0F38"/>
    <w:rsid w:val="004C1524"/>
    <w:rsid w:val="004C1F67"/>
    <w:rsid w:val="004C3FF6"/>
    <w:rsid w:val="004C6A49"/>
    <w:rsid w:val="004D0C2A"/>
    <w:rsid w:val="004D0ECB"/>
    <w:rsid w:val="004D1319"/>
    <w:rsid w:val="004D1C4B"/>
    <w:rsid w:val="004D25D4"/>
    <w:rsid w:val="004D5669"/>
    <w:rsid w:val="004E15F1"/>
    <w:rsid w:val="004E5193"/>
    <w:rsid w:val="004E62ED"/>
    <w:rsid w:val="004E764C"/>
    <w:rsid w:val="004E7D38"/>
    <w:rsid w:val="004F0ADA"/>
    <w:rsid w:val="004F110F"/>
    <w:rsid w:val="004F153D"/>
    <w:rsid w:val="004F1C87"/>
    <w:rsid w:val="004F3973"/>
    <w:rsid w:val="004F77C7"/>
    <w:rsid w:val="0050186D"/>
    <w:rsid w:val="00504621"/>
    <w:rsid w:val="0050498C"/>
    <w:rsid w:val="0050795E"/>
    <w:rsid w:val="00511757"/>
    <w:rsid w:val="005121C6"/>
    <w:rsid w:val="0051439B"/>
    <w:rsid w:val="00520591"/>
    <w:rsid w:val="00521C72"/>
    <w:rsid w:val="005239C0"/>
    <w:rsid w:val="00524059"/>
    <w:rsid w:val="00524522"/>
    <w:rsid w:val="00526CFE"/>
    <w:rsid w:val="00530C5B"/>
    <w:rsid w:val="00530E57"/>
    <w:rsid w:val="00531206"/>
    <w:rsid w:val="005333C8"/>
    <w:rsid w:val="00534FC1"/>
    <w:rsid w:val="00535A6F"/>
    <w:rsid w:val="00535ABE"/>
    <w:rsid w:val="0053771D"/>
    <w:rsid w:val="00541927"/>
    <w:rsid w:val="0054201F"/>
    <w:rsid w:val="00542438"/>
    <w:rsid w:val="00544227"/>
    <w:rsid w:val="005451A2"/>
    <w:rsid w:val="0054640F"/>
    <w:rsid w:val="00547690"/>
    <w:rsid w:val="00547726"/>
    <w:rsid w:val="005478EA"/>
    <w:rsid w:val="00547BB9"/>
    <w:rsid w:val="00550128"/>
    <w:rsid w:val="005511D6"/>
    <w:rsid w:val="005519FF"/>
    <w:rsid w:val="00551EF5"/>
    <w:rsid w:val="0055321A"/>
    <w:rsid w:val="0055422F"/>
    <w:rsid w:val="00554453"/>
    <w:rsid w:val="005552F4"/>
    <w:rsid w:val="005554DE"/>
    <w:rsid w:val="00556326"/>
    <w:rsid w:val="0055679F"/>
    <w:rsid w:val="00556E2F"/>
    <w:rsid w:val="005604B6"/>
    <w:rsid w:val="00562F33"/>
    <w:rsid w:val="00563330"/>
    <w:rsid w:val="00567F16"/>
    <w:rsid w:val="00570EA8"/>
    <w:rsid w:val="005711B5"/>
    <w:rsid w:val="00571586"/>
    <w:rsid w:val="005724B9"/>
    <w:rsid w:val="0057544C"/>
    <w:rsid w:val="00576C51"/>
    <w:rsid w:val="00581300"/>
    <w:rsid w:val="005833A4"/>
    <w:rsid w:val="00583960"/>
    <w:rsid w:val="00584186"/>
    <w:rsid w:val="00584968"/>
    <w:rsid w:val="00584A88"/>
    <w:rsid w:val="00585531"/>
    <w:rsid w:val="0058624D"/>
    <w:rsid w:val="005910FB"/>
    <w:rsid w:val="00592E1F"/>
    <w:rsid w:val="00593E2F"/>
    <w:rsid w:val="00594DE9"/>
    <w:rsid w:val="00596EC8"/>
    <w:rsid w:val="00596FB5"/>
    <w:rsid w:val="005A0092"/>
    <w:rsid w:val="005A28D2"/>
    <w:rsid w:val="005A2FF6"/>
    <w:rsid w:val="005A5F82"/>
    <w:rsid w:val="005A654B"/>
    <w:rsid w:val="005A6CE8"/>
    <w:rsid w:val="005B24B5"/>
    <w:rsid w:val="005B2BCC"/>
    <w:rsid w:val="005B4AF7"/>
    <w:rsid w:val="005B6CBF"/>
    <w:rsid w:val="005C2BB4"/>
    <w:rsid w:val="005C324C"/>
    <w:rsid w:val="005C5727"/>
    <w:rsid w:val="005C6883"/>
    <w:rsid w:val="005C6940"/>
    <w:rsid w:val="005C77C2"/>
    <w:rsid w:val="005C783E"/>
    <w:rsid w:val="005D18E6"/>
    <w:rsid w:val="005D1FA7"/>
    <w:rsid w:val="005D4D7D"/>
    <w:rsid w:val="005E2F60"/>
    <w:rsid w:val="005E36CC"/>
    <w:rsid w:val="005E3B9E"/>
    <w:rsid w:val="005E3D16"/>
    <w:rsid w:val="005E4185"/>
    <w:rsid w:val="005E49A4"/>
    <w:rsid w:val="005E506C"/>
    <w:rsid w:val="005E62EB"/>
    <w:rsid w:val="005E7FB1"/>
    <w:rsid w:val="005F0423"/>
    <w:rsid w:val="005F0646"/>
    <w:rsid w:val="005F1314"/>
    <w:rsid w:val="005F2D37"/>
    <w:rsid w:val="005F4653"/>
    <w:rsid w:val="005F47B3"/>
    <w:rsid w:val="005F5226"/>
    <w:rsid w:val="005F7220"/>
    <w:rsid w:val="00600EE5"/>
    <w:rsid w:val="0060166D"/>
    <w:rsid w:val="00602C24"/>
    <w:rsid w:val="006063EE"/>
    <w:rsid w:val="006076BC"/>
    <w:rsid w:val="0061027B"/>
    <w:rsid w:val="00611092"/>
    <w:rsid w:val="0061179E"/>
    <w:rsid w:val="006131FB"/>
    <w:rsid w:val="00613E90"/>
    <w:rsid w:val="006144AB"/>
    <w:rsid w:val="00616145"/>
    <w:rsid w:val="00621983"/>
    <w:rsid w:val="00621AA9"/>
    <w:rsid w:val="006224BD"/>
    <w:rsid w:val="00622BD8"/>
    <w:rsid w:val="0062326C"/>
    <w:rsid w:val="006256CF"/>
    <w:rsid w:val="006260E1"/>
    <w:rsid w:val="00626A12"/>
    <w:rsid w:val="0062735C"/>
    <w:rsid w:val="00627AD5"/>
    <w:rsid w:val="00630968"/>
    <w:rsid w:val="00630A46"/>
    <w:rsid w:val="0063718B"/>
    <w:rsid w:val="00644500"/>
    <w:rsid w:val="006517B8"/>
    <w:rsid w:val="006529A7"/>
    <w:rsid w:val="0065349B"/>
    <w:rsid w:val="00655756"/>
    <w:rsid w:val="00656495"/>
    <w:rsid w:val="00656CE8"/>
    <w:rsid w:val="00657BCC"/>
    <w:rsid w:val="006638CF"/>
    <w:rsid w:val="00664F2D"/>
    <w:rsid w:val="00665640"/>
    <w:rsid w:val="0066617C"/>
    <w:rsid w:val="00666591"/>
    <w:rsid w:val="00666851"/>
    <w:rsid w:val="00667FB2"/>
    <w:rsid w:val="0067112D"/>
    <w:rsid w:val="00674335"/>
    <w:rsid w:val="00674734"/>
    <w:rsid w:val="00676B5A"/>
    <w:rsid w:val="006773CF"/>
    <w:rsid w:val="00680B30"/>
    <w:rsid w:val="00681507"/>
    <w:rsid w:val="00682B7D"/>
    <w:rsid w:val="00684704"/>
    <w:rsid w:val="00685FF4"/>
    <w:rsid w:val="00686972"/>
    <w:rsid w:val="00687701"/>
    <w:rsid w:val="006904F5"/>
    <w:rsid w:val="00690A3C"/>
    <w:rsid w:val="00691654"/>
    <w:rsid w:val="00691B5C"/>
    <w:rsid w:val="006920C2"/>
    <w:rsid w:val="00693620"/>
    <w:rsid w:val="00694306"/>
    <w:rsid w:val="006949A9"/>
    <w:rsid w:val="00694AB6"/>
    <w:rsid w:val="006967E1"/>
    <w:rsid w:val="006A0AAE"/>
    <w:rsid w:val="006A216D"/>
    <w:rsid w:val="006A2B33"/>
    <w:rsid w:val="006A3739"/>
    <w:rsid w:val="006A3C7B"/>
    <w:rsid w:val="006A48A4"/>
    <w:rsid w:val="006A7777"/>
    <w:rsid w:val="006B1012"/>
    <w:rsid w:val="006B4BAC"/>
    <w:rsid w:val="006B4D49"/>
    <w:rsid w:val="006B4EAA"/>
    <w:rsid w:val="006B75F0"/>
    <w:rsid w:val="006B792B"/>
    <w:rsid w:val="006C0A91"/>
    <w:rsid w:val="006C12E9"/>
    <w:rsid w:val="006C1945"/>
    <w:rsid w:val="006C33C3"/>
    <w:rsid w:val="006C36AC"/>
    <w:rsid w:val="006C37D8"/>
    <w:rsid w:val="006C4BAD"/>
    <w:rsid w:val="006C59B6"/>
    <w:rsid w:val="006C6EE8"/>
    <w:rsid w:val="006D017A"/>
    <w:rsid w:val="006D0221"/>
    <w:rsid w:val="006D09D4"/>
    <w:rsid w:val="006D11D9"/>
    <w:rsid w:val="006D303E"/>
    <w:rsid w:val="006D5866"/>
    <w:rsid w:val="006E3041"/>
    <w:rsid w:val="006E31E1"/>
    <w:rsid w:val="006E413E"/>
    <w:rsid w:val="006E642B"/>
    <w:rsid w:val="006E6F98"/>
    <w:rsid w:val="006E7066"/>
    <w:rsid w:val="006E7249"/>
    <w:rsid w:val="006E7CF8"/>
    <w:rsid w:val="006E7D50"/>
    <w:rsid w:val="006F2084"/>
    <w:rsid w:val="006F253E"/>
    <w:rsid w:val="006F3F0A"/>
    <w:rsid w:val="006F50AE"/>
    <w:rsid w:val="007008B1"/>
    <w:rsid w:val="00700C22"/>
    <w:rsid w:val="00703B92"/>
    <w:rsid w:val="007051E7"/>
    <w:rsid w:val="0070533D"/>
    <w:rsid w:val="0070576C"/>
    <w:rsid w:val="00712703"/>
    <w:rsid w:val="00713C09"/>
    <w:rsid w:val="007140F5"/>
    <w:rsid w:val="0071622D"/>
    <w:rsid w:val="007169FB"/>
    <w:rsid w:val="00716D33"/>
    <w:rsid w:val="00726D4D"/>
    <w:rsid w:val="00726D91"/>
    <w:rsid w:val="00727532"/>
    <w:rsid w:val="00730025"/>
    <w:rsid w:val="007302F6"/>
    <w:rsid w:val="00730609"/>
    <w:rsid w:val="0073154E"/>
    <w:rsid w:val="0073175F"/>
    <w:rsid w:val="00734279"/>
    <w:rsid w:val="00735916"/>
    <w:rsid w:val="00740118"/>
    <w:rsid w:val="00740239"/>
    <w:rsid w:val="00740B4A"/>
    <w:rsid w:val="00740CD5"/>
    <w:rsid w:val="00741644"/>
    <w:rsid w:val="00742771"/>
    <w:rsid w:val="0074299A"/>
    <w:rsid w:val="00743A77"/>
    <w:rsid w:val="007440D4"/>
    <w:rsid w:val="0074683C"/>
    <w:rsid w:val="007472E9"/>
    <w:rsid w:val="0074776D"/>
    <w:rsid w:val="007477FB"/>
    <w:rsid w:val="007505B8"/>
    <w:rsid w:val="00751B38"/>
    <w:rsid w:val="007525B6"/>
    <w:rsid w:val="007527C5"/>
    <w:rsid w:val="0075329E"/>
    <w:rsid w:val="00754BCA"/>
    <w:rsid w:val="00755267"/>
    <w:rsid w:val="00760B89"/>
    <w:rsid w:val="00761BA6"/>
    <w:rsid w:val="00765BB4"/>
    <w:rsid w:val="00766F38"/>
    <w:rsid w:val="0077061F"/>
    <w:rsid w:val="0077223F"/>
    <w:rsid w:val="007748B2"/>
    <w:rsid w:val="00776129"/>
    <w:rsid w:val="00776CB9"/>
    <w:rsid w:val="00777CA4"/>
    <w:rsid w:val="0078027C"/>
    <w:rsid w:val="00780B67"/>
    <w:rsid w:val="00783197"/>
    <w:rsid w:val="00783969"/>
    <w:rsid w:val="0078414E"/>
    <w:rsid w:val="007841C4"/>
    <w:rsid w:val="00784662"/>
    <w:rsid w:val="00785096"/>
    <w:rsid w:val="007870B5"/>
    <w:rsid w:val="00792D7A"/>
    <w:rsid w:val="00795950"/>
    <w:rsid w:val="0079620A"/>
    <w:rsid w:val="007963DA"/>
    <w:rsid w:val="0079667F"/>
    <w:rsid w:val="00797460"/>
    <w:rsid w:val="007A0824"/>
    <w:rsid w:val="007A12CF"/>
    <w:rsid w:val="007A233D"/>
    <w:rsid w:val="007A3EB4"/>
    <w:rsid w:val="007A40C4"/>
    <w:rsid w:val="007A496F"/>
    <w:rsid w:val="007A6E70"/>
    <w:rsid w:val="007A7962"/>
    <w:rsid w:val="007A7B9B"/>
    <w:rsid w:val="007B270A"/>
    <w:rsid w:val="007B4504"/>
    <w:rsid w:val="007B7B67"/>
    <w:rsid w:val="007C1427"/>
    <w:rsid w:val="007C35D4"/>
    <w:rsid w:val="007C5EA2"/>
    <w:rsid w:val="007C6471"/>
    <w:rsid w:val="007C6A97"/>
    <w:rsid w:val="007C6D30"/>
    <w:rsid w:val="007D0B36"/>
    <w:rsid w:val="007D0CCC"/>
    <w:rsid w:val="007D1102"/>
    <w:rsid w:val="007D2F33"/>
    <w:rsid w:val="007D40ED"/>
    <w:rsid w:val="007D47D1"/>
    <w:rsid w:val="007D763E"/>
    <w:rsid w:val="007E1287"/>
    <w:rsid w:val="007E1B33"/>
    <w:rsid w:val="007E36AE"/>
    <w:rsid w:val="007E4351"/>
    <w:rsid w:val="007E6079"/>
    <w:rsid w:val="007E60A8"/>
    <w:rsid w:val="007F38FC"/>
    <w:rsid w:val="007F3B1E"/>
    <w:rsid w:val="007F4305"/>
    <w:rsid w:val="007F537F"/>
    <w:rsid w:val="007F631D"/>
    <w:rsid w:val="008021BB"/>
    <w:rsid w:val="008036C3"/>
    <w:rsid w:val="00804282"/>
    <w:rsid w:val="008055C1"/>
    <w:rsid w:val="00806063"/>
    <w:rsid w:val="0081161A"/>
    <w:rsid w:val="008133AA"/>
    <w:rsid w:val="0081375B"/>
    <w:rsid w:val="00813F0B"/>
    <w:rsid w:val="00814276"/>
    <w:rsid w:val="008166C4"/>
    <w:rsid w:val="008168AC"/>
    <w:rsid w:val="00820E39"/>
    <w:rsid w:val="00820F7A"/>
    <w:rsid w:val="00821E67"/>
    <w:rsid w:val="00824CC5"/>
    <w:rsid w:val="00824E46"/>
    <w:rsid w:val="00826224"/>
    <w:rsid w:val="00827782"/>
    <w:rsid w:val="00830900"/>
    <w:rsid w:val="00832AD7"/>
    <w:rsid w:val="00833E5C"/>
    <w:rsid w:val="00833FA1"/>
    <w:rsid w:val="00836D92"/>
    <w:rsid w:val="00840226"/>
    <w:rsid w:val="00840ECE"/>
    <w:rsid w:val="00842771"/>
    <w:rsid w:val="008430BD"/>
    <w:rsid w:val="00850092"/>
    <w:rsid w:val="008509DF"/>
    <w:rsid w:val="00852E74"/>
    <w:rsid w:val="008547E8"/>
    <w:rsid w:val="00854B0B"/>
    <w:rsid w:val="008577A7"/>
    <w:rsid w:val="00860AA2"/>
    <w:rsid w:val="00861C44"/>
    <w:rsid w:val="008625F3"/>
    <w:rsid w:val="00863C88"/>
    <w:rsid w:val="00863D6E"/>
    <w:rsid w:val="00863E4A"/>
    <w:rsid w:val="008645DA"/>
    <w:rsid w:val="00864F41"/>
    <w:rsid w:val="00871176"/>
    <w:rsid w:val="008713C3"/>
    <w:rsid w:val="0087235B"/>
    <w:rsid w:val="00873794"/>
    <w:rsid w:val="008744C5"/>
    <w:rsid w:val="00875AB5"/>
    <w:rsid w:val="00876291"/>
    <w:rsid w:val="0087679E"/>
    <w:rsid w:val="008768E5"/>
    <w:rsid w:val="0087696A"/>
    <w:rsid w:val="0088325C"/>
    <w:rsid w:val="0088480A"/>
    <w:rsid w:val="008848E8"/>
    <w:rsid w:val="008857E9"/>
    <w:rsid w:val="008857F3"/>
    <w:rsid w:val="00890D9B"/>
    <w:rsid w:val="00892851"/>
    <w:rsid w:val="00893615"/>
    <w:rsid w:val="00894012"/>
    <w:rsid w:val="00895601"/>
    <w:rsid w:val="00896B9A"/>
    <w:rsid w:val="008970DB"/>
    <w:rsid w:val="0089798B"/>
    <w:rsid w:val="00897EC0"/>
    <w:rsid w:val="008A00E3"/>
    <w:rsid w:val="008A1E3A"/>
    <w:rsid w:val="008A33FB"/>
    <w:rsid w:val="008A3909"/>
    <w:rsid w:val="008A3D15"/>
    <w:rsid w:val="008A4144"/>
    <w:rsid w:val="008A421E"/>
    <w:rsid w:val="008A475C"/>
    <w:rsid w:val="008A6900"/>
    <w:rsid w:val="008B08B4"/>
    <w:rsid w:val="008B0FAD"/>
    <w:rsid w:val="008B4099"/>
    <w:rsid w:val="008B441F"/>
    <w:rsid w:val="008B4D49"/>
    <w:rsid w:val="008B55D1"/>
    <w:rsid w:val="008B6ECA"/>
    <w:rsid w:val="008B6FB6"/>
    <w:rsid w:val="008B7E26"/>
    <w:rsid w:val="008C204B"/>
    <w:rsid w:val="008C3C64"/>
    <w:rsid w:val="008C4326"/>
    <w:rsid w:val="008C4A6C"/>
    <w:rsid w:val="008C66EF"/>
    <w:rsid w:val="008C7CE0"/>
    <w:rsid w:val="008D1635"/>
    <w:rsid w:val="008D2088"/>
    <w:rsid w:val="008D22FB"/>
    <w:rsid w:val="008D2E95"/>
    <w:rsid w:val="008D4B84"/>
    <w:rsid w:val="008D5452"/>
    <w:rsid w:val="008D6F96"/>
    <w:rsid w:val="008E1117"/>
    <w:rsid w:val="008E320C"/>
    <w:rsid w:val="008E3641"/>
    <w:rsid w:val="008E421F"/>
    <w:rsid w:val="008E4E2E"/>
    <w:rsid w:val="008E5241"/>
    <w:rsid w:val="008E562B"/>
    <w:rsid w:val="008E5C53"/>
    <w:rsid w:val="008E704D"/>
    <w:rsid w:val="008E7310"/>
    <w:rsid w:val="008F1397"/>
    <w:rsid w:val="008F2A53"/>
    <w:rsid w:val="008F3026"/>
    <w:rsid w:val="008F5C2E"/>
    <w:rsid w:val="008F69EA"/>
    <w:rsid w:val="00903475"/>
    <w:rsid w:val="009074DF"/>
    <w:rsid w:val="0091216C"/>
    <w:rsid w:val="00912983"/>
    <w:rsid w:val="00913849"/>
    <w:rsid w:val="00913E36"/>
    <w:rsid w:val="00916485"/>
    <w:rsid w:val="00922F5E"/>
    <w:rsid w:val="00925B8E"/>
    <w:rsid w:val="00926B4E"/>
    <w:rsid w:val="009356D6"/>
    <w:rsid w:val="00936731"/>
    <w:rsid w:val="009367DC"/>
    <w:rsid w:val="00937592"/>
    <w:rsid w:val="009414CC"/>
    <w:rsid w:val="00941B7D"/>
    <w:rsid w:val="009421B6"/>
    <w:rsid w:val="00942831"/>
    <w:rsid w:val="00943AE7"/>
    <w:rsid w:val="00944E65"/>
    <w:rsid w:val="00944E8C"/>
    <w:rsid w:val="009450E3"/>
    <w:rsid w:val="009454D0"/>
    <w:rsid w:val="009465F6"/>
    <w:rsid w:val="00953722"/>
    <w:rsid w:val="00953C0F"/>
    <w:rsid w:val="00961AA5"/>
    <w:rsid w:val="00961E25"/>
    <w:rsid w:val="0096276D"/>
    <w:rsid w:val="009633CD"/>
    <w:rsid w:val="00970DBF"/>
    <w:rsid w:val="00973AE2"/>
    <w:rsid w:val="009754F2"/>
    <w:rsid w:val="00975F53"/>
    <w:rsid w:val="00977E59"/>
    <w:rsid w:val="00980EEF"/>
    <w:rsid w:val="009838CC"/>
    <w:rsid w:val="00983F28"/>
    <w:rsid w:val="00984E5A"/>
    <w:rsid w:val="00985C17"/>
    <w:rsid w:val="009867AE"/>
    <w:rsid w:val="009867DC"/>
    <w:rsid w:val="00992578"/>
    <w:rsid w:val="00993998"/>
    <w:rsid w:val="00996142"/>
    <w:rsid w:val="009968FA"/>
    <w:rsid w:val="009A0986"/>
    <w:rsid w:val="009A1D76"/>
    <w:rsid w:val="009A2429"/>
    <w:rsid w:val="009A371C"/>
    <w:rsid w:val="009A423A"/>
    <w:rsid w:val="009A6AAC"/>
    <w:rsid w:val="009B0B41"/>
    <w:rsid w:val="009B18CD"/>
    <w:rsid w:val="009B344D"/>
    <w:rsid w:val="009B3C20"/>
    <w:rsid w:val="009B4597"/>
    <w:rsid w:val="009B4B2C"/>
    <w:rsid w:val="009B507F"/>
    <w:rsid w:val="009B5C95"/>
    <w:rsid w:val="009B6C1B"/>
    <w:rsid w:val="009B7DE4"/>
    <w:rsid w:val="009C0D00"/>
    <w:rsid w:val="009C1873"/>
    <w:rsid w:val="009C2190"/>
    <w:rsid w:val="009C2743"/>
    <w:rsid w:val="009C3BAE"/>
    <w:rsid w:val="009C469F"/>
    <w:rsid w:val="009D14C3"/>
    <w:rsid w:val="009D3EC9"/>
    <w:rsid w:val="009D6280"/>
    <w:rsid w:val="009D6E5D"/>
    <w:rsid w:val="009D72B8"/>
    <w:rsid w:val="009E231D"/>
    <w:rsid w:val="009E4D5B"/>
    <w:rsid w:val="009F02F0"/>
    <w:rsid w:val="009F0C38"/>
    <w:rsid w:val="009F36D9"/>
    <w:rsid w:val="009F4C3F"/>
    <w:rsid w:val="009F51B1"/>
    <w:rsid w:val="009F75D9"/>
    <w:rsid w:val="00A018B0"/>
    <w:rsid w:val="00A034DA"/>
    <w:rsid w:val="00A03CBA"/>
    <w:rsid w:val="00A04C37"/>
    <w:rsid w:val="00A06351"/>
    <w:rsid w:val="00A06D15"/>
    <w:rsid w:val="00A06D98"/>
    <w:rsid w:val="00A126FA"/>
    <w:rsid w:val="00A1338A"/>
    <w:rsid w:val="00A15450"/>
    <w:rsid w:val="00A2191C"/>
    <w:rsid w:val="00A22BF7"/>
    <w:rsid w:val="00A23030"/>
    <w:rsid w:val="00A236C4"/>
    <w:rsid w:val="00A240CB"/>
    <w:rsid w:val="00A2743E"/>
    <w:rsid w:val="00A27A14"/>
    <w:rsid w:val="00A3015F"/>
    <w:rsid w:val="00A30A1E"/>
    <w:rsid w:val="00A30D46"/>
    <w:rsid w:val="00A31949"/>
    <w:rsid w:val="00A33FDB"/>
    <w:rsid w:val="00A3408A"/>
    <w:rsid w:val="00A353CB"/>
    <w:rsid w:val="00A356D6"/>
    <w:rsid w:val="00A36354"/>
    <w:rsid w:val="00A3775B"/>
    <w:rsid w:val="00A37AE2"/>
    <w:rsid w:val="00A40552"/>
    <w:rsid w:val="00A408E3"/>
    <w:rsid w:val="00A40997"/>
    <w:rsid w:val="00A41C88"/>
    <w:rsid w:val="00A4267E"/>
    <w:rsid w:val="00A44FE3"/>
    <w:rsid w:val="00A47AB6"/>
    <w:rsid w:val="00A53AB2"/>
    <w:rsid w:val="00A57049"/>
    <w:rsid w:val="00A6125C"/>
    <w:rsid w:val="00A6167D"/>
    <w:rsid w:val="00A61FE7"/>
    <w:rsid w:val="00A62F88"/>
    <w:rsid w:val="00A65778"/>
    <w:rsid w:val="00A65D51"/>
    <w:rsid w:val="00A72F47"/>
    <w:rsid w:val="00A733A1"/>
    <w:rsid w:val="00A73A73"/>
    <w:rsid w:val="00A76B40"/>
    <w:rsid w:val="00A773F5"/>
    <w:rsid w:val="00A80026"/>
    <w:rsid w:val="00A811CF"/>
    <w:rsid w:val="00A81DDA"/>
    <w:rsid w:val="00A83015"/>
    <w:rsid w:val="00A83E07"/>
    <w:rsid w:val="00A84B67"/>
    <w:rsid w:val="00A87D75"/>
    <w:rsid w:val="00A903D5"/>
    <w:rsid w:val="00A90B8A"/>
    <w:rsid w:val="00A90DEE"/>
    <w:rsid w:val="00A94848"/>
    <w:rsid w:val="00A9573F"/>
    <w:rsid w:val="00A95D77"/>
    <w:rsid w:val="00A97949"/>
    <w:rsid w:val="00AA010F"/>
    <w:rsid w:val="00AA035B"/>
    <w:rsid w:val="00AA16CE"/>
    <w:rsid w:val="00AA176C"/>
    <w:rsid w:val="00AA189F"/>
    <w:rsid w:val="00AA25C7"/>
    <w:rsid w:val="00AA35C8"/>
    <w:rsid w:val="00AA3E89"/>
    <w:rsid w:val="00AA4AFB"/>
    <w:rsid w:val="00AA5D77"/>
    <w:rsid w:val="00AB0B83"/>
    <w:rsid w:val="00AB0C1C"/>
    <w:rsid w:val="00AB36FD"/>
    <w:rsid w:val="00AB421E"/>
    <w:rsid w:val="00AB4811"/>
    <w:rsid w:val="00AB4B9D"/>
    <w:rsid w:val="00AB4DC3"/>
    <w:rsid w:val="00AB538B"/>
    <w:rsid w:val="00AB62F3"/>
    <w:rsid w:val="00AB66BD"/>
    <w:rsid w:val="00AB6741"/>
    <w:rsid w:val="00AC055A"/>
    <w:rsid w:val="00AC09F5"/>
    <w:rsid w:val="00AC1F7B"/>
    <w:rsid w:val="00AC38A1"/>
    <w:rsid w:val="00AC58B2"/>
    <w:rsid w:val="00AC7DFB"/>
    <w:rsid w:val="00AD0144"/>
    <w:rsid w:val="00AD16E8"/>
    <w:rsid w:val="00AD33F9"/>
    <w:rsid w:val="00AD41E4"/>
    <w:rsid w:val="00AD5149"/>
    <w:rsid w:val="00AD59DE"/>
    <w:rsid w:val="00AD5C67"/>
    <w:rsid w:val="00AD65A5"/>
    <w:rsid w:val="00AE0605"/>
    <w:rsid w:val="00AE2412"/>
    <w:rsid w:val="00AE2520"/>
    <w:rsid w:val="00AE2B98"/>
    <w:rsid w:val="00AE2D56"/>
    <w:rsid w:val="00AE3693"/>
    <w:rsid w:val="00AF1433"/>
    <w:rsid w:val="00AF1BE5"/>
    <w:rsid w:val="00AF3237"/>
    <w:rsid w:val="00AF46CF"/>
    <w:rsid w:val="00AF550D"/>
    <w:rsid w:val="00AF5FB5"/>
    <w:rsid w:val="00AF7462"/>
    <w:rsid w:val="00AF78A1"/>
    <w:rsid w:val="00AF7CF5"/>
    <w:rsid w:val="00B0019A"/>
    <w:rsid w:val="00B0121B"/>
    <w:rsid w:val="00B014CA"/>
    <w:rsid w:val="00B046E3"/>
    <w:rsid w:val="00B07A9B"/>
    <w:rsid w:val="00B100B8"/>
    <w:rsid w:val="00B11740"/>
    <w:rsid w:val="00B11A0A"/>
    <w:rsid w:val="00B11C85"/>
    <w:rsid w:val="00B122EE"/>
    <w:rsid w:val="00B13090"/>
    <w:rsid w:val="00B135C5"/>
    <w:rsid w:val="00B13B54"/>
    <w:rsid w:val="00B163E5"/>
    <w:rsid w:val="00B22394"/>
    <w:rsid w:val="00B23AD8"/>
    <w:rsid w:val="00B23E8F"/>
    <w:rsid w:val="00B248E0"/>
    <w:rsid w:val="00B2698A"/>
    <w:rsid w:val="00B32EB9"/>
    <w:rsid w:val="00B36CC9"/>
    <w:rsid w:val="00B41755"/>
    <w:rsid w:val="00B43CA1"/>
    <w:rsid w:val="00B43F2E"/>
    <w:rsid w:val="00B44C49"/>
    <w:rsid w:val="00B44C76"/>
    <w:rsid w:val="00B471C6"/>
    <w:rsid w:val="00B5020D"/>
    <w:rsid w:val="00B5335B"/>
    <w:rsid w:val="00B56AD2"/>
    <w:rsid w:val="00B57B3E"/>
    <w:rsid w:val="00B60BBF"/>
    <w:rsid w:val="00B624D4"/>
    <w:rsid w:val="00B6782C"/>
    <w:rsid w:val="00B71ABB"/>
    <w:rsid w:val="00B7296B"/>
    <w:rsid w:val="00B72C69"/>
    <w:rsid w:val="00B73190"/>
    <w:rsid w:val="00B743BC"/>
    <w:rsid w:val="00B75D44"/>
    <w:rsid w:val="00B76636"/>
    <w:rsid w:val="00B76967"/>
    <w:rsid w:val="00B80930"/>
    <w:rsid w:val="00B80FEB"/>
    <w:rsid w:val="00B8125A"/>
    <w:rsid w:val="00B81E3F"/>
    <w:rsid w:val="00B85716"/>
    <w:rsid w:val="00B864CE"/>
    <w:rsid w:val="00B8677B"/>
    <w:rsid w:val="00B87F0E"/>
    <w:rsid w:val="00B9106E"/>
    <w:rsid w:val="00B9270D"/>
    <w:rsid w:val="00B93F30"/>
    <w:rsid w:val="00B95055"/>
    <w:rsid w:val="00B95E79"/>
    <w:rsid w:val="00B9619F"/>
    <w:rsid w:val="00B96357"/>
    <w:rsid w:val="00B96CB3"/>
    <w:rsid w:val="00B96F94"/>
    <w:rsid w:val="00BA0DF4"/>
    <w:rsid w:val="00BA1081"/>
    <w:rsid w:val="00BA2EA3"/>
    <w:rsid w:val="00BA40F4"/>
    <w:rsid w:val="00BA581F"/>
    <w:rsid w:val="00BA5AFA"/>
    <w:rsid w:val="00BA7766"/>
    <w:rsid w:val="00BB0239"/>
    <w:rsid w:val="00BB04B7"/>
    <w:rsid w:val="00BB2F67"/>
    <w:rsid w:val="00BB3F74"/>
    <w:rsid w:val="00BB4905"/>
    <w:rsid w:val="00BB53EA"/>
    <w:rsid w:val="00BB53F8"/>
    <w:rsid w:val="00BB5F86"/>
    <w:rsid w:val="00BB6359"/>
    <w:rsid w:val="00BB676F"/>
    <w:rsid w:val="00BB6E57"/>
    <w:rsid w:val="00BC0F44"/>
    <w:rsid w:val="00BC1204"/>
    <w:rsid w:val="00BC2830"/>
    <w:rsid w:val="00BC3423"/>
    <w:rsid w:val="00BC417F"/>
    <w:rsid w:val="00BC7562"/>
    <w:rsid w:val="00BC76FC"/>
    <w:rsid w:val="00BD0C9D"/>
    <w:rsid w:val="00BD27BB"/>
    <w:rsid w:val="00BD2CE4"/>
    <w:rsid w:val="00BD52A2"/>
    <w:rsid w:val="00BD5814"/>
    <w:rsid w:val="00BD6E35"/>
    <w:rsid w:val="00BE0EC0"/>
    <w:rsid w:val="00BE25A2"/>
    <w:rsid w:val="00BE4200"/>
    <w:rsid w:val="00BE4ACB"/>
    <w:rsid w:val="00BE69F7"/>
    <w:rsid w:val="00BE744A"/>
    <w:rsid w:val="00BF071E"/>
    <w:rsid w:val="00BF0B77"/>
    <w:rsid w:val="00BF1E84"/>
    <w:rsid w:val="00BF4E56"/>
    <w:rsid w:val="00BF5FD5"/>
    <w:rsid w:val="00C02565"/>
    <w:rsid w:val="00C026D0"/>
    <w:rsid w:val="00C03D99"/>
    <w:rsid w:val="00C06373"/>
    <w:rsid w:val="00C07CB8"/>
    <w:rsid w:val="00C10AA0"/>
    <w:rsid w:val="00C11A99"/>
    <w:rsid w:val="00C12276"/>
    <w:rsid w:val="00C13B79"/>
    <w:rsid w:val="00C13E86"/>
    <w:rsid w:val="00C149A1"/>
    <w:rsid w:val="00C14B3C"/>
    <w:rsid w:val="00C17C39"/>
    <w:rsid w:val="00C247DB"/>
    <w:rsid w:val="00C25B45"/>
    <w:rsid w:val="00C26EAC"/>
    <w:rsid w:val="00C27F56"/>
    <w:rsid w:val="00C300E1"/>
    <w:rsid w:val="00C30367"/>
    <w:rsid w:val="00C33A8A"/>
    <w:rsid w:val="00C3506A"/>
    <w:rsid w:val="00C36FA7"/>
    <w:rsid w:val="00C37E05"/>
    <w:rsid w:val="00C37FE6"/>
    <w:rsid w:val="00C41BDA"/>
    <w:rsid w:val="00C41D08"/>
    <w:rsid w:val="00C4218D"/>
    <w:rsid w:val="00C455FB"/>
    <w:rsid w:val="00C5041D"/>
    <w:rsid w:val="00C52B08"/>
    <w:rsid w:val="00C55422"/>
    <w:rsid w:val="00C665B8"/>
    <w:rsid w:val="00C66736"/>
    <w:rsid w:val="00C67EBD"/>
    <w:rsid w:val="00C7161C"/>
    <w:rsid w:val="00C716DC"/>
    <w:rsid w:val="00C72974"/>
    <w:rsid w:val="00C72A49"/>
    <w:rsid w:val="00C73364"/>
    <w:rsid w:val="00C73F38"/>
    <w:rsid w:val="00C750CF"/>
    <w:rsid w:val="00C75E00"/>
    <w:rsid w:val="00C76106"/>
    <w:rsid w:val="00C812BF"/>
    <w:rsid w:val="00C813C8"/>
    <w:rsid w:val="00C81E38"/>
    <w:rsid w:val="00C843F7"/>
    <w:rsid w:val="00C905B4"/>
    <w:rsid w:val="00C905F5"/>
    <w:rsid w:val="00C934C4"/>
    <w:rsid w:val="00C96F5C"/>
    <w:rsid w:val="00CA0435"/>
    <w:rsid w:val="00CA0F3B"/>
    <w:rsid w:val="00CA4293"/>
    <w:rsid w:val="00CA5C92"/>
    <w:rsid w:val="00CA61FB"/>
    <w:rsid w:val="00CA6C03"/>
    <w:rsid w:val="00CA7095"/>
    <w:rsid w:val="00CA782D"/>
    <w:rsid w:val="00CB03D5"/>
    <w:rsid w:val="00CB16AB"/>
    <w:rsid w:val="00CB239E"/>
    <w:rsid w:val="00CB3022"/>
    <w:rsid w:val="00CB33CD"/>
    <w:rsid w:val="00CB4136"/>
    <w:rsid w:val="00CB6260"/>
    <w:rsid w:val="00CB6593"/>
    <w:rsid w:val="00CC007E"/>
    <w:rsid w:val="00CC0153"/>
    <w:rsid w:val="00CC32A6"/>
    <w:rsid w:val="00CC5D8C"/>
    <w:rsid w:val="00CD069F"/>
    <w:rsid w:val="00CD1645"/>
    <w:rsid w:val="00CD713B"/>
    <w:rsid w:val="00CD7597"/>
    <w:rsid w:val="00CE05AF"/>
    <w:rsid w:val="00CE3049"/>
    <w:rsid w:val="00CE5459"/>
    <w:rsid w:val="00CE72AF"/>
    <w:rsid w:val="00CE72D2"/>
    <w:rsid w:val="00CF09E8"/>
    <w:rsid w:val="00CF68DF"/>
    <w:rsid w:val="00CF6C77"/>
    <w:rsid w:val="00CF7395"/>
    <w:rsid w:val="00CF768D"/>
    <w:rsid w:val="00CF79DE"/>
    <w:rsid w:val="00D026CB"/>
    <w:rsid w:val="00D02A38"/>
    <w:rsid w:val="00D041DE"/>
    <w:rsid w:val="00D054CC"/>
    <w:rsid w:val="00D05D27"/>
    <w:rsid w:val="00D17809"/>
    <w:rsid w:val="00D2013B"/>
    <w:rsid w:val="00D2113A"/>
    <w:rsid w:val="00D231F9"/>
    <w:rsid w:val="00D233A6"/>
    <w:rsid w:val="00D259AE"/>
    <w:rsid w:val="00D2622C"/>
    <w:rsid w:val="00D2661B"/>
    <w:rsid w:val="00D32742"/>
    <w:rsid w:val="00D33D70"/>
    <w:rsid w:val="00D33F47"/>
    <w:rsid w:val="00D342C7"/>
    <w:rsid w:val="00D34760"/>
    <w:rsid w:val="00D34A9B"/>
    <w:rsid w:val="00D353B9"/>
    <w:rsid w:val="00D35F69"/>
    <w:rsid w:val="00D360D1"/>
    <w:rsid w:val="00D376DD"/>
    <w:rsid w:val="00D379D2"/>
    <w:rsid w:val="00D379F9"/>
    <w:rsid w:val="00D41655"/>
    <w:rsid w:val="00D43798"/>
    <w:rsid w:val="00D45335"/>
    <w:rsid w:val="00D47AF4"/>
    <w:rsid w:val="00D51607"/>
    <w:rsid w:val="00D54B69"/>
    <w:rsid w:val="00D5794A"/>
    <w:rsid w:val="00D60136"/>
    <w:rsid w:val="00D62D24"/>
    <w:rsid w:val="00D67713"/>
    <w:rsid w:val="00D7652F"/>
    <w:rsid w:val="00D8111C"/>
    <w:rsid w:val="00D81395"/>
    <w:rsid w:val="00D8504C"/>
    <w:rsid w:val="00D86443"/>
    <w:rsid w:val="00D912F6"/>
    <w:rsid w:val="00D91695"/>
    <w:rsid w:val="00D9492E"/>
    <w:rsid w:val="00D96CE4"/>
    <w:rsid w:val="00DA1B4E"/>
    <w:rsid w:val="00DA1D6E"/>
    <w:rsid w:val="00DA3C9E"/>
    <w:rsid w:val="00DA6C8C"/>
    <w:rsid w:val="00DA7157"/>
    <w:rsid w:val="00DB08E8"/>
    <w:rsid w:val="00DB22C1"/>
    <w:rsid w:val="00DB2632"/>
    <w:rsid w:val="00DB2C4C"/>
    <w:rsid w:val="00DB3001"/>
    <w:rsid w:val="00DB6130"/>
    <w:rsid w:val="00DB7450"/>
    <w:rsid w:val="00DB758E"/>
    <w:rsid w:val="00DC2C3D"/>
    <w:rsid w:val="00DC3A69"/>
    <w:rsid w:val="00DC538E"/>
    <w:rsid w:val="00DC7A14"/>
    <w:rsid w:val="00DC7B6C"/>
    <w:rsid w:val="00DD0B96"/>
    <w:rsid w:val="00DD0E5C"/>
    <w:rsid w:val="00DD15A6"/>
    <w:rsid w:val="00DD2FB8"/>
    <w:rsid w:val="00DD3F49"/>
    <w:rsid w:val="00DD4FCD"/>
    <w:rsid w:val="00DD6796"/>
    <w:rsid w:val="00DE5003"/>
    <w:rsid w:val="00DE5D70"/>
    <w:rsid w:val="00DE7844"/>
    <w:rsid w:val="00DF11B5"/>
    <w:rsid w:val="00DF182A"/>
    <w:rsid w:val="00DF18F7"/>
    <w:rsid w:val="00DF1B1F"/>
    <w:rsid w:val="00DF3597"/>
    <w:rsid w:val="00E00305"/>
    <w:rsid w:val="00E00B06"/>
    <w:rsid w:val="00E01654"/>
    <w:rsid w:val="00E0310C"/>
    <w:rsid w:val="00E061CB"/>
    <w:rsid w:val="00E072C8"/>
    <w:rsid w:val="00E12575"/>
    <w:rsid w:val="00E15410"/>
    <w:rsid w:val="00E16506"/>
    <w:rsid w:val="00E169CE"/>
    <w:rsid w:val="00E176DD"/>
    <w:rsid w:val="00E179FB"/>
    <w:rsid w:val="00E20A6E"/>
    <w:rsid w:val="00E21CE5"/>
    <w:rsid w:val="00E25C4C"/>
    <w:rsid w:val="00E27315"/>
    <w:rsid w:val="00E27B04"/>
    <w:rsid w:val="00E31CB6"/>
    <w:rsid w:val="00E3360C"/>
    <w:rsid w:val="00E3429A"/>
    <w:rsid w:val="00E34C3D"/>
    <w:rsid w:val="00E3574C"/>
    <w:rsid w:val="00E35919"/>
    <w:rsid w:val="00E35BEB"/>
    <w:rsid w:val="00E362E5"/>
    <w:rsid w:val="00E363E5"/>
    <w:rsid w:val="00E36F99"/>
    <w:rsid w:val="00E41503"/>
    <w:rsid w:val="00E4173A"/>
    <w:rsid w:val="00E42AD8"/>
    <w:rsid w:val="00E442EA"/>
    <w:rsid w:val="00E44749"/>
    <w:rsid w:val="00E46B57"/>
    <w:rsid w:val="00E527C6"/>
    <w:rsid w:val="00E52D36"/>
    <w:rsid w:val="00E570E4"/>
    <w:rsid w:val="00E57169"/>
    <w:rsid w:val="00E57605"/>
    <w:rsid w:val="00E5797F"/>
    <w:rsid w:val="00E57A73"/>
    <w:rsid w:val="00E60241"/>
    <w:rsid w:val="00E63E67"/>
    <w:rsid w:val="00E702E9"/>
    <w:rsid w:val="00E70333"/>
    <w:rsid w:val="00E71DEF"/>
    <w:rsid w:val="00E723E0"/>
    <w:rsid w:val="00E73433"/>
    <w:rsid w:val="00E73DC2"/>
    <w:rsid w:val="00E746E3"/>
    <w:rsid w:val="00E74921"/>
    <w:rsid w:val="00E74A73"/>
    <w:rsid w:val="00E754BC"/>
    <w:rsid w:val="00E81E53"/>
    <w:rsid w:val="00E86465"/>
    <w:rsid w:val="00E875D0"/>
    <w:rsid w:val="00E87CC6"/>
    <w:rsid w:val="00E87EF4"/>
    <w:rsid w:val="00E927A4"/>
    <w:rsid w:val="00E92BDA"/>
    <w:rsid w:val="00E932E6"/>
    <w:rsid w:val="00E945A3"/>
    <w:rsid w:val="00E956EA"/>
    <w:rsid w:val="00E96883"/>
    <w:rsid w:val="00E96CE6"/>
    <w:rsid w:val="00E975F3"/>
    <w:rsid w:val="00EA02BA"/>
    <w:rsid w:val="00EA0C25"/>
    <w:rsid w:val="00EA0F59"/>
    <w:rsid w:val="00EA1182"/>
    <w:rsid w:val="00EA1AE6"/>
    <w:rsid w:val="00EA3597"/>
    <w:rsid w:val="00EA42DB"/>
    <w:rsid w:val="00EA5A8E"/>
    <w:rsid w:val="00EA7752"/>
    <w:rsid w:val="00EB0652"/>
    <w:rsid w:val="00EB150A"/>
    <w:rsid w:val="00EB4AD4"/>
    <w:rsid w:val="00EB4D92"/>
    <w:rsid w:val="00EB6D93"/>
    <w:rsid w:val="00EB6E6A"/>
    <w:rsid w:val="00EB7DC1"/>
    <w:rsid w:val="00EC076E"/>
    <w:rsid w:val="00EC1F2E"/>
    <w:rsid w:val="00EC25F7"/>
    <w:rsid w:val="00EC319B"/>
    <w:rsid w:val="00EC33F7"/>
    <w:rsid w:val="00EC53D5"/>
    <w:rsid w:val="00EC5554"/>
    <w:rsid w:val="00EC66CE"/>
    <w:rsid w:val="00EC6A07"/>
    <w:rsid w:val="00ED0E06"/>
    <w:rsid w:val="00ED157C"/>
    <w:rsid w:val="00ED16AF"/>
    <w:rsid w:val="00ED1963"/>
    <w:rsid w:val="00ED1AA3"/>
    <w:rsid w:val="00ED307B"/>
    <w:rsid w:val="00ED3A22"/>
    <w:rsid w:val="00ED791B"/>
    <w:rsid w:val="00EE02B8"/>
    <w:rsid w:val="00EE15BD"/>
    <w:rsid w:val="00EE21F7"/>
    <w:rsid w:val="00EE2AFD"/>
    <w:rsid w:val="00EE4578"/>
    <w:rsid w:val="00EE5629"/>
    <w:rsid w:val="00EE7466"/>
    <w:rsid w:val="00EF2158"/>
    <w:rsid w:val="00EF2DAD"/>
    <w:rsid w:val="00EF359D"/>
    <w:rsid w:val="00EF4A26"/>
    <w:rsid w:val="00EF4C9F"/>
    <w:rsid w:val="00EF6DC5"/>
    <w:rsid w:val="00EF72D4"/>
    <w:rsid w:val="00EF7566"/>
    <w:rsid w:val="00F005FB"/>
    <w:rsid w:val="00F00F97"/>
    <w:rsid w:val="00F01551"/>
    <w:rsid w:val="00F019DE"/>
    <w:rsid w:val="00F054A7"/>
    <w:rsid w:val="00F0601D"/>
    <w:rsid w:val="00F06A17"/>
    <w:rsid w:val="00F073AF"/>
    <w:rsid w:val="00F100EA"/>
    <w:rsid w:val="00F112EA"/>
    <w:rsid w:val="00F129AC"/>
    <w:rsid w:val="00F15820"/>
    <w:rsid w:val="00F16275"/>
    <w:rsid w:val="00F16814"/>
    <w:rsid w:val="00F1778B"/>
    <w:rsid w:val="00F21488"/>
    <w:rsid w:val="00F2330B"/>
    <w:rsid w:val="00F2568D"/>
    <w:rsid w:val="00F26A02"/>
    <w:rsid w:val="00F31089"/>
    <w:rsid w:val="00F31184"/>
    <w:rsid w:val="00F33B64"/>
    <w:rsid w:val="00F35150"/>
    <w:rsid w:val="00F357C8"/>
    <w:rsid w:val="00F36B5C"/>
    <w:rsid w:val="00F36F41"/>
    <w:rsid w:val="00F37FD5"/>
    <w:rsid w:val="00F41546"/>
    <w:rsid w:val="00F4161A"/>
    <w:rsid w:val="00F42C3B"/>
    <w:rsid w:val="00F43291"/>
    <w:rsid w:val="00F44AB0"/>
    <w:rsid w:val="00F46222"/>
    <w:rsid w:val="00F466E6"/>
    <w:rsid w:val="00F53772"/>
    <w:rsid w:val="00F565E4"/>
    <w:rsid w:val="00F60331"/>
    <w:rsid w:val="00F61E40"/>
    <w:rsid w:val="00F62149"/>
    <w:rsid w:val="00F63D97"/>
    <w:rsid w:val="00F64CAD"/>
    <w:rsid w:val="00F66EF2"/>
    <w:rsid w:val="00F6713A"/>
    <w:rsid w:val="00F71EA8"/>
    <w:rsid w:val="00F7242E"/>
    <w:rsid w:val="00F74D4F"/>
    <w:rsid w:val="00F75D65"/>
    <w:rsid w:val="00F761F8"/>
    <w:rsid w:val="00F80213"/>
    <w:rsid w:val="00F81E69"/>
    <w:rsid w:val="00F826AA"/>
    <w:rsid w:val="00F83E31"/>
    <w:rsid w:val="00F848A5"/>
    <w:rsid w:val="00F851F9"/>
    <w:rsid w:val="00F90BB4"/>
    <w:rsid w:val="00F95FB1"/>
    <w:rsid w:val="00F96DC8"/>
    <w:rsid w:val="00F97FE5"/>
    <w:rsid w:val="00FA1A58"/>
    <w:rsid w:val="00FA2FD0"/>
    <w:rsid w:val="00FA50A2"/>
    <w:rsid w:val="00FA52B2"/>
    <w:rsid w:val="00FA5A3A"/>
    <w:rsid w:val="00FA684B"/>
    <w:rsid w:val="00FA7358"/>
    <w:rsid w:val="00FB00BF"/>
    <w:rsid w:val="00FB7548"/>
    <w:rsid w:val="00FB79BF"/>
    <w:rsid w:val="00FC0F22"/>
    <w:rsid w:val="00FC4833"/>
    <w:rsid w:val="00FC5D3A"/>
    <w:rsid w:val="00FC66CE"/>
    <w:rsid w:val="00FC6788"/>
    <w:rsid w:val="00FC7546"/>
    <w:rsid w:val="00FD2B38"/>
    <w:rsid w:val="00FD457B"/>
    <w:rsid w:val="00FD46BC"/>
    <w:rsid w:val="00FD69BB"/>
    <w:rsid w:val="00FD72EA"/>
    <w:rsid w:val="00FD7E67"/>
    <w:rsid w:val="00FD7FA3"/>
    <w:rsid w:val="00FE14EC"/>
    <w:rsid w:val="00FE197E"/>
    <w:rsid w:val="00FE25D8"/>
    <w:rsid w:val="00FE26EF"/>
    <w:rsid w:val="00FE2D0F"/>
    <w:rsid w:val="00FE2FEE"/>
    <w:rsid w:val="00FE48BD"/>
    <w:rsid w:val="00FE6EEB"/>
    <w:rsid w:val="00FE77FE"/>
    <w:rsid w:val="00FF10F2"/>
    <w:rsid w:val="00FF13BC"/>
    <w:rsid w:val="00FF16C8"/>
    <w:rsid w:val="00FF3B2B"/>
    <w:rsid w:val="00FF469A"/>
    <w:rsid w:val="00FF47F4"/>
    <w:rsid w:val="00FF5530"/>
    <w:rsid w:val="00FF57E7"/>
    <w:rsid w:val="00FF77F7"/>
    <w:rsid w:val="01043A7E"/>
    <w:rsid w:val="013144C5"/>
    <w:rsid w:val="024F709F"/>
    <w:rsid w:val="03D86790"/>
    <w:rsid w:val="04D37589"/>
    <w:rsid w:val="04DD49F4"/>
    <w:rsid w:val="05080A43"/>
    <w:rsid w:val="068F2DEE"/>
    <w:rsid w:val="06E85016"/>
    <w:rsid w:val="06F35CC1"/>
    <w:rsid w:val="07D7113E"/>
    <w:rsid w:val="07DA20B6"/>
    <w:rsid w:val="08AB2BFF"/>
    <w:rsid w:val="09013EC2"/>
    <w:rsid w:val="090F28FE"/>
    <w:rsid w:val="09867462"/>
    <w:rsid w:val="09CE2AA0"/>
    <w:rsid w:val="09E17B81"/>
    <w:rsid w:val="09EB57EB"/>
    <w:rsid w:val="0A6730CC"/>
    <w:rsid w:val="0ADE4F8F"/>
    <w:rsid w:val="0B682C16"/>
    <w:rsid w:val="0C070965"/>
    <w:rsid w:val="0C423601"/>
    <w:rsid w:val="0CD600FA"/>
    <w:rsid w:val="0D693143"/>
    <w:rsid w:val="0E586593"/>
    <w:rsid w:val="0E9C7BF2"/>
    <w:rsid w:val="0ECB2357"/>
    <w:rsid w:val="0F1412FB"/>
    <w:rsid w:val="0F4B669A"/>
    <w:rsid w:val="0F732ED9"/>
    <w:rsid w:val="0FC14674"/>
    <w:rsid w:val="0FC55939"/>
    <w:rsid w:val="101853D5"/>
    <w:rsid w:val="10DF0CC4"/>
    <w:rsid w:val="11426AC1"/>
    <w:rsid w:val="12147FD3"/>
    <w:rsid w:val="12167FA3"/>
    <w:rsid w:val="12B711D1"/>
    <w:rsid w:val="136C6BDF"/>
    <w:rsid w:val="13CA3B59"/>
    <w:rsid w:val="158370D1"/>
    <w:rsid w:val="164B312D"/>
    <w:rsid w:val="16FE76AB"/>
    <w:rsid w:val="17F236A0"/>
    <w:rsid w:val="185B0E56"/>
    <w:rsid w:val="19B1359D"/>
    <w:rsid w:val="19EB51AC"/>
    <w:rsid w:val="1B10257A"/>
    <w:rsid w:val="1B366E72"/>
    <w:rsid w:val="1CF67364"/>
    <w:rsid w:val="1D961578"/>
    <w:rsid w:val="1DC93EC1"/>
    <w:rsid w:val="1E2B2D0C"/>
    <w:rsid w:val="1E824195"/>
    <w:rsid w:val="1EF42AE0"/>
    <w:rsid w:val="1EF7705C"/>
    <w:rsid w:val="1F404C92"/>
    <w:rsid w:val="1F714B2B"/>
    <w:rsid w:val="20295EBC"/>
    <w:rsid w:val="218B501C"/>
    <w:rsid w:val="224203F0"/>
    <w:rsid w:val="224415B6"/>
    <w:rsid w:val="228A18FB"/>
    <w:rsid w:val="23320C44"/>
    <w:rsid w:val="23D46097"/>
    <w:rsid w:val="24191D9C"/>
    <w:rsid w:val="24AD70B3"/>
    <w:rsid w:val="25572FE4"/>
    <w:rsid w:val="2670233C"/>
    <w:rsid w:val="26BF3336"/>
    <w:rsid w:val="2772465A"/>
    <w:rsid w:val="27F925EC"/>
    <w:rsid w:val="28815245"/>
    <w:rsid w:val="28A52EC9"/>
    <w:rsid w:val="28FC12C9"/>
    <w:rsid w:val="2902075A"/>
    <w:rsid w:val="293E6A9A"/>
    <w:rsid w:val="294E63E3"/>
    <w:rsid w:val="29532D6F"/>
    <w:rsid w:val="2B9A6B81"/>
    <w:rsid w:val="2BDD44C7"/>
    <w:rsid w:val="2C8D605C"/>
    <w:rsid w:val="2DE730BF"/>
    <w:rsid w:val="2E0A3190"/>
    <w:rsid w:val="2F09600A"/>
    <w:rsid w:val="2F2730DD"/>
    <w:rsid w:val="2FB3157A"/>
    <w:rsid w:val="331567DD"/>
    <w:rsid w:val="33CC00B4"/>
    <w:rsid w:val="33F5561A"/>
    <w:rsid w:val="34ED3F25"/>
    <w:rsid w:val="353E77C0"/>
    <w:rsid w:val="358C0E03"/>
    <w:rsid w:val="366D384D"/>
    <w:rsid w:val="36DC7831"/>
    <w:rsid w:val="37621F23"/>
    <w:rsid w:val="37A371DC"/>
    <w:rsid w:val="37F38B62"/>
    <w:rsid w:val="37FB1826"/>
    <w:rsid w:val="393C5D94"/>
    <w:rsid w:val="39FB1404"/>
    <w:rsid w:val="3A1C29BC"/>
    <w:rsid w:val="3A752BCC"/>
    <w:rsid w:val="3AAD5BAB"/>
    <w:rsid w:val="3B9904DA"/>
    <w:rsid w:val="3C377541"/>
    <w:rsid w:val="3C61255A"/>
    <w:rsid w:val="3D9E34D7"/>
    <w:rsid w:val="3DC83684"/>
    <w:rsid w:val="3E32205F"/>
    <w:rsid w:val="3E6C34D4"/>
    <w:rsid w:val="3E7D778B"/>
    <w:rsid w:val="40BA6ECE"/>
    <w:rsid w:val="412639E9"/>
    <w:rsid w:val="420D57DD"/>
    <w:rsid w:val="42271E8D"/>
    <w:rsid w:val="42EF79EC"/>
    <w:rsid w:val="43215911"/>
    <w:rsid w:val="43441C89"/>
    <w:rsid w:val="437F96F6"/>
    <w:rsid w:val="43F362EE"/>
    <w:rsid w:val="446B250C"/>
    <w:rsid w:val="44D62436"/>
    <w:rsid w:val="45384EDD"/>
    <w:rsid w:val="458D3609"/>
    <w:rsid w:val="460739A8"/>
    <w:rsid w:val="470E2FCC"/>
    <w:rsid w:val="47244631"/>
    <w:rsid w:val="497F6965"/>
    <w:rsid w:val="49F95338"/>
    <w:rsid w:val="4A487B96"/>
    <w:rsid w:val="4AD03647"/>
    <w:rsid w:val="4AE96CCB"/>
    <w:rsid w:val="4B0C247A"/>
    <w:rsid w:val="4B312E03"/>
    <w:rsid w:val="4B700C5B"/>
    <w:rsid w:val="4B9470C3"/>
    <w:rsid w:val="4C506F9E"/>
    <w:rsid w:val="4C6A2EEE"/>
    <w:rsid w:val="4C9F5C0A"/>
    <w:rsid w:val="4CE72852"/>
    <w:rsid w:val="4D1F6A42"/>
    <w:rsid w:val="4D316AC8"/>
    <w:rsid w:val="4E175B2B"/>
    <w:rsid w:val="4F342392"/>
    <w:rsid w:val="4FC94E13"/>
    <w:rsid w:val="50044402"/>
    <w:rsid w:val="50AE79CB"/>
    <w:rsid w:val="51A60F32"/>
    <w:rsid w:val="52EF2C45"/>
    <w:rsid w:val="532C4E91"/>
    <w:rsid w:val="533547D1"/>
    <w:rsid w:val="5385101B"/>
    <w:rsid w:val="53D43A2C"/>
    <w:rsid w:val="53FF78B2"/>
    <w:rsid w:val="54084A14"/>
    <w:rsid w:val="55F83DAF"/>
    <w:rsid w:val="57CC4919"/>
    <w:rsid w:val="57F26D57"/>
    <w:rsid w:val="59BB367F"/>
    <w:rsid w:val="5A4C2893"/>
    <w:rsid w:val="5AA46E08"/>
    <w:rsid w:val="5AF50B94"/>
    <w:rsid w:val="5B101B12"/>
    <w:rsid w:val="5D762921"/>
    <w:rsid w:val="5D8C06B7"/>
    <w:rsid w:val="5D8E3014"/>
    <w:rsid w:val="5DD006EE"/>
    <w:rsid w:val="5E8425FB"/>
    <w:rsid w:val="5EBD7B2B"/>
    <w:rsid w:val="5EFB2AC3"/>
    <w:rsid w:val="5F2513D8"/>
    <w:rsid w:val="604B2DDF"/>
    <w:rsid w:val="60800B2D"/>
    <w:rsid w:val="610A34FD"/>
    <w:rsid w:val="61103506"/>
    <w:rsid w:val="61786FC4"/>
    <w:rsid w:val="62262C33"/>
    <w:rsid w:val="625E7607"/>
    <w:rsid w:val="63325B58"/>
    <w:rsid w:val="637B6DD1"/>
    <w:rsid w:val="64A30292"/>
    <w:rsid w:val="64E21129"/>
    <w:rsid w:val="651A7888"/>
    <w:rsid w:val="65907FB7"/>
    <w:rsid w:val="661F0B5C"/>
    <w:rsid w:val="66781691"/>
    <w:rsid w:val="68A652EE"/>
    <w:rsid w:val="69733998"/>
    <w:rsid w:val="6B313B59"/>
    <w:rsid w:val="6B661248"/>
    <w:rsid w:val="6C737B9F"/>
    <w:rsid w:val="6E2C1F36"/>
    <w:rsid w:val="6EA63A2B"/>
    <w:rsid w:val="6F0C472B"/>
    <w:rsid w:val="6F8F5C05"/>
    <w:rsid w:val="6F967FBD"/>
    <w:rsid w:val="70075D23"/>
    <w:rsid w:val="70EA69FF"/>
    <w:rsid w:val="71A6648D"/>
    <w:rsid w:val="71E271F8"/>
    <w:rsid w:val="73861730"/>
    <w:rsid w:val="73FB0A6B"/>
    <w:rsid w:val="74117AF4"/>
    <w:rsid w:val="74343D51"/>
    <w:rsid w:val="747E4895"/>
    <w:rsid w:val="754D08F8"/>
    <w:rsid w:val="75657140"/>
    <w:rsid w:val="76C653B2"/>
    <w:rsid w:val="76FA5A50"/>
    <w:rsid w:val="77177CA6"/>
    <w:rsid w:val="7742166B"/>
    <w:rsid w:val="77DE0B76"/>
    <w:rsid w:val="784226CD"/>
    <w:rsid w:val="784B7D33"/>
    <w:rsid w:val="78EC3DFE"/>
    <w:rsid w:val="79B373D8"/>
    <w:rsid w:val="7A093204"/>
    <w:rsid w:val="7A55716E"/>
    <w:rsid w:val="7A804280"/>
    <w:rsid w:val="7B546D9E"/>
    <w:rsid w:val="7B936AB8"/>
    <w:rsid w:val="7BD118DF"/>
    <w:rsid w:val="7BFFCBD7"/>
    <w:rsid w:val="7C3F595C"/>
    <w:rsid w:val="7D7E1540"/>
    <w:rsid w:val="7D853842"/>
    <w:rsid w:val="7EEF7529"/>
    <w:rsid w:val="7FBE4C6A"/>
    <w:rsid w:val="7FFBD790"/>
    <w:rsid w:val="D57418B9"/>
    <w:rsid w:val="DE7FC6DB"/>
    <w:rsid w:val="DF3E1D19"/>
    <w:rsid w:val="F8BF5466"/>
    <w:rsid w:val="FFAB9D16"/>
    <w:rsid w:val="FFB93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next w:val="4"/>
    <w:qFormat/>
    <w:uiPriority w:val="0"/>
    <w:rPr>
      <w:rFonts w:ascii="仿宋_GB2312" w:hAnsi="Calibri" w:eastAsia="宋体"/>
    </w:rPr>
  </w:style>
  <w:style w:type="paragraph" w:customStyle="1" w:styleId="4">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toc 3"/>
    <w:basedOn w:val="1"/>
    <w:next w:val="1"/>
    <w:unhideWhenUsed/>
    <w:qFormat/>
    <w:uiPriority w:val="39"/>
    <w:pPr>
      <w:ind w:left="840" w:leftChars="400"/>
    </w:pPr>
  </w:style>
  <w:style w:type="paragraph" w:styleId="6">
    <w:name w:val="Balloon Text"/>
    <w:basedOn w:val="1"/>
    <w:link w:val="22"/>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style>
  <w:style w:type="paragraph" w:styleId="10">
    <w:name w:val="footnote text"/>
    <w:basedOn w:val="1"/>
    <w:link w:val="37"/>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spacing w:beforeAutospacing="1" w:afterAutospacing="1"/>
      <w:jc w:val="left"/>
    </w:pPr>
    <w:rPr>
      <w:kern w:val="0"/>
      <w:sz w:val="24"/>
    </w:rPr>
  </w:style>
  <w:style w:type="paragraph" w:styleId="13">
    <w:name w:val="annotation subject"/>
    <w:basedOn w:val="2"/>
    <w:next w:val="2"/>
    <w:link w:val="34"/>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Hyperlink"/>
    <w:qFormat/>
    <w:uiPriority w:val="99"/>
    <w:rPr>
      <w:color w:val="0000FF"/>
      <w:u w:val="single"/>
    </w:rPr>
  </w:style>
  <w:style w:type="character" w:styleId="19">
    <w:name w:val="annotation reference"/>
    <w:basedOn w:val="16"/>
    <w:unhideWhenUsed/>
    <w:qFormat/>
    <w:uiPriority w:val="99"/>
    <w:rPr>
      <w:sz w:val="21"/>
      <w:szCs w:val="21"/>
    </w:rPr>
  </w:style>
  <w:style w:type="character" w:styleId="20">
    <w:name w:val="footnote reference"/>
    <w:basedOn w:val="16"/>
    <w:semiHidden/>
    <w:unhideWhenUsed/>
    <w:qFormat/>
    <w:uiPriority w:val="99"/>
    <w:rPr>
      <w:vertAlign w:val="superscript"/>
    </w:rPr>
  </w:style>
  <w:style w:type="character" w:customStyle="1" w:styleId="21">
    <w:name w:val="批注文字 字符"/>
    <w:basedOn w:val="16"/>
    <w:link w:val="2"/>
    <w:qFormat/>
    <w:uiPriority w:val="99"/>
    <w:rPr>
      <w:rFonts w:ascii="等线" w:hAnsi="等线" w:eastAsia="等线"/>
      <w:kern w:val="2"/>
      <w:sz w:val="21"/>
      <w:szCs w:val="22"/>
    </w:rPr>
  </w:style>
  <w:style w:type="character" w:customStyle="1" w:styleId="22">
    <w:name w:val="批注框文本 字符"/>
    <w:basedOn w:val="16"/>
    <w:link w:val="6"/>
    <w:semiHidden/>
    <w:qFormat/>
    <w:uiPriority w:val="99"/>
    <w:rPr>
      <w:rFonts w:ascii="等线" w:hAnsi="等线" w:eastAsia="等线"/>
      <w:kern w:val="2"/>
      <w:sz w:val="18"/>
      <w:szCs w:val="18"/>
    </w:rPr>
  </w:style>
  <w:style w:type="character" w:customStyle="1" w:styleId="23">
    <w:name w:val="页脚 字符"/>
    <w:link w:val="7"/>
    <w:qFormat/>
    <w:uiPriority w:val="99"/>
    <w:rPr>
      <w:rFonts w:ascii="等线" w:hAnsi="等线" w:eastAsia="等线"/>
      <w:kern w:val="2"/>
      <w:sz w:val="18"/>
      <w:szCs w:val="22"/>
    </w:rPr>
  </w:style>
  <w:style w:type="paragraph" w:customStyle="1" w:styleId="24">
    <w:name w:val="_Style 3"/>
    <w:basedOn w:val="1"/>
    <w:next w:val="25"/>
    <w:unhideWhenUsed/>
    <w:qFormat/>
    <w:uiPriority w:val="99"/>
    <w:pPr>
      <w:spacing w:line="360" w:lineRule="auto"/>
      <w:ind w:firstLine="420" w:firstLineChars="200"/>
      <w:jc w:val="left"/>
    </w:pPr>
    <w:rPr>
      <w:rFonts w:ascii="Times New Roman" w:hAnsi="Times New Roman" w:eastAsia="仿宋"/>
      <w:sz w:val="32"/>
      <w:szCs w:val="24"/>
      <w:lang w:eastAsia="zh-TW"/>
    </w:rPr>
  </w:style>
  <w:style w:type="paragraph" w:styleId="25">
    <w:name w:val="List Paragraph"/>
    <w:basedOn w:val="1"/>
    <w:qFormat/>
    <w:uiPriority w:val="34"/>
    <w:pPr>
      <w:ind w:firstLine="420" w:firstLineChars="200"/>
    </w:pPr>
  </w:style>
  <w:style w:type="character" w:customStyle="1" w:styleId="26">
    <w:name w:val="font41"/>
    <w:basedOn w:val="16"/>
    <w:qFormat/>
    <w:uiPriority w:val="0"/>
    <w:rPr>
      <w:rFonts w:hint="eastAsia" w:ascii="宋体" w:hAnsi="宋体" w:eastAsia="宋体" w:cs="宋体"/>
      <w:color w:val="000000"/>
      <w:sz w:val="20"/>
      <w:szCs w:val="20"/>
      <w:u w:val="none"/>
    </w:rPr>
  </w:style>
  <w:style w:type="character" w:customStyle="1" w:styleId="27">
    <w:name w:val="font21"/>
    <w:basedOn w:val="16"/>
    <w:qFormat/>
    <w:uiPriority w:val="0"/>
    <w:rPr>
      <w:rFonts w:hint="eastAsia" w:ascii="宋体" w:hAnsi="宋体" w:eastAsia="宋体" w:cs="宋体"/>
      <w:b/>
      <w:bCs/>
      <w:color w:val="000000"/>
      <w:sz w:val="20"/>
      <w:szCs w:val="20"/>
      <w:u w:val="none"/>
    </w:rPr>
  </w:style>
  <w:style w:type="character" w:customStyle="1" w:styleId="28">
    <w:name w:val="font61"/>
    <w:basedOn w:val="16"/>
    <w:qFormat/>
    <w:uiPriority w:val="0"/>
    <w:rPr>
      <w:rFonts w:hint="eastAsia" w:ascii="宋体" w:hAnsi="宋体" w:eastAsia="宋体" w:cs="宋体"/>
      <w:color w:val="000000"/>
      <w:sz w:val="20"/>
      <w:szCs w:val="20"/>
      <w:u w:val="none"/>
    </w:rPr>
  </w:style>
  <w:style w:type="character" w:customStyle="1" w:styleId="29">
    <w:name w:val="font31"/>
    <w:basedOn w:val="16"/>
    <w:qFormat/>
    <w:uiPriority w:val="0"/>
    <w:rPr>
      <w:rFonts w:hint="eastAsia" w:ascii="宋体" w:hAnsi="宋体" w:eastAsia="宋体" w:cs="宋体"/>
      <w:color w:val="FF0000"/>
      <w:sz w:val="20"/>
      <w:szCs w:val="20"/>
      <w:u w:val="none"/>
    </w:rPr>
  </w:style>
  <w:style w:type="character" w:customStyle="1" w:styleId="30">
    <w:name w:val="font71"/>
    <w:basedOn w:val="16"/>
    <w:qFormat/>
    <w:uiPriority w:val="0"/>
    <w:rPr>
      <w:rFonts w:hint="eastAsia" w:ascii="宋体" w:hAnsi="宋体" w:eastAsia="宋体" w:cs="宋体"/>
      <w:color w:val="000000"/>
      <w:sz w:val="20"/>
      <w:szCs w:val="20"/>
      <w:u w:val="none"/>
    </w:rPr>
  </w:style>
  <w:style w:type="character" w:customStyle="1" w:styleId="31">
    <w:name w:val="font01"/>
    <w:basedOn w:val="16"/>
    <w:qFormat/>
    <w:uiPriority w:val="0"/>
    <w:rPr>
      <w:rFonts w:hint="eastAsia" w:ascii="宋体" w:hAnsi="宋体" w:eastAsia="宋体" w:cs="宋体"/>
      <w:b/>
      <w:bCs/>
      <w:color w:val="000000"/>
      <w:sz w:val="20"/>
      <w:szCs w:val="20"/>
      <w:u w:val="none"/>
    </w:rPr>
  </w:style>
  <w:style w:type="character" w:customStyle="1" w:styleId="32">
    <w:name w:val="正文1 Char"/>
    <w:link w:val="33"/>
    <w:qFormat/>
    <w:locked/>
    <w:uiPriority w:val="0"/>
    <w:rPr>
      <w:rFonts w:ascii="宋体" w:hAnsi="宋体" w:eastAsia="仿宋_GB2312"/>
      <w:spacing w:val="6"/>
      <w:sz w:val="24"/>
    </w:rPr>
  </w:style>
  <w:style w:type="paragraph" w:customStyle="1" w:styleId="33">
    <w:name w:val="正文1"/>
    <w:basedOn w:val="1"/>
    <w:link w:val="32"/>
    <w:qFormat/>
    <w:uiPriority w:val="0"/>
    <w:pPr>
      <w:autoSpaceDE w:val="0"/>
      <w:autoSpaceDN w:val="0"/>
      <w:adjustRightInd w:val="0"/>
      <w:snapToGrid w:val="0"/>
      <w:spacing w:line="600" w:lineRule="exact"/>
      <w:ind w:firstLine="624" w:firstLineChars="200"/>
    </w:pPr>
    <w:rPr>
      <w:rFonts w:ascii="宋体" w:hAnsi="宋体" w:eastAsia="仿宋_GB2312"/>
      <w:spacing w:val="6"/>
      <w:kern w:val="0"/>
      <w:sz w:val="24"/>
      <w:szCs w:val="20"/>
    </w:rPr>
  </w:style>
  <w:style w:type="character" w:customStyle="1" w:styleId="34">
    <w:name w:val="批注主题 字符"/>
    <w:basedOn w:val="21"/>
    <w:link w:val="13"/>
    <w:semiHidden/>
    <w:qFormat/>
    <w:uiPriority w:val="99"/>
    <w:rPr>
      <w:rFonts w:ascii="等线" w:hAnsi="等线" w:eastAsia="等线"/>
      <w:b/>
      <w:bCs/>
      <w:kern w:val="2"/>
      <w:sz w:val="21"/>
      <w:szCs w:val="22"/>
    </w:rPr>
  </w:style>
  <w:style w:type="paragraph" w:customStyle="1" w:styleId="35">
    <w:name w:val="_Style 27"/>
    <w:basedOn w:val="1"/>
    <w:next w:val="1"/>
    <w:unhideWhenUsed/>
    <w:qFormat/>
    <w:uiPriority w:val="39"/>
    <w:pPr>
      <w:spacing w:before="120" w:after="120"/>
      <w:jc w:val="left"/>
    </w:pPr>
    <w:rPr>
      <w:rFonts w:ascii="Calibri" w:hAnsi="Calibri" w:eastAsia="仿宋_GB2312" w:cs="Calibri"/>
      <w:b/>
      <w:bCs/>
      <w:caps/>
      <w:sz w:val="20"/>
      <w:szCs w:val="20"/>
    </w:rPr>
  </w:style>
  <w:style w:type="paragraph" w:customStyle="1" w:styleId="36">
    <w:name w:val="修订1"/>
    <w:hidden/>
    <w:semiHidden/>
    <w:qFormat/>
    <w:uiPriority w:val="99"/>
    <w:rPr>
      <w:rFonts w:ascii="等线" w:hAnsi="等线" w:eastAsia="等线" w:cs="Times New Roman"/>
      <w:kern w:val="2"/>
      <w:sz w:val="21"/>
      <w:szCs w:val="22"/>
      <w:lang w:val="en-US" w:eastAsia="zh-CN" w:bidi="ar-SA"/>
    </w:rPr>
  </w:style>
  <w:style w:type="character" w:customStyle="1" w:styleId="37">
    <w:name w:val="脚注文本 字符"/>
    <w:basedOn w:val="16"/>
    <w:link w:val="10"/>
    <w:semiHidden/>
    <w:qFormat/>
    <w:uiPriority w:val="99"/>
    <w:rPr>
      <w:rFonts w:ascii="等线" w:hAnsi="等线" w:eastAsia="等线"/>
      <w:kern w:val="2"/>
      <w:sz w:val="18"/>
      <w:szCs w:val="18"/>
    </w:rPr>
  </w:style>
  <w:style w:type="character" w:customStyle="1" w:styleId="38">
    <w:name w:val="批注文字 字符1"/>
    <w:qFormat/>
    <w:uiPriority w:val="99"/>
    <w:rPr>
      <w:rFonts w:ascii="Times New Roman" w:hAnsi="Times New Roman" w:eastAsia="宋体" w:cs="Times New Roman"/>
      <w:szCs w:val="24"/>
      <w:lang w:val="zh-CN" w:eastAsia="zh-CN"/>
    </w:rPr>
  </w:style>
  <w:style w:type="character" w:customStyle="1" w:styleId="39">
    <w:name w:val="font11"/>
    <w:qFormat/>
    <w:uiPriority w:val="0"/>
    <w:rPr>
      <w:rFonts w:hint="eastAsia" w:ascii="宋体" w:hAnsi="宋体" w:eastAsia="宋体" w:cs="宋体"/>
      <w:color w:val="000000"/>
      <w:sz w:val="18"/>
      <w:szCs w:val="18"/>
      <w:u w:val="none"/>
    </w:rPr>
  </w:style>
  <w:style w:type="character" w:customStyle="1" w:styleId="40">
    <w:name w:val="bjh-p"/>
    <w:basedOn w:val="16"/>
    <w:qFormat/>
    <w:uiPriority w:val="0"/>
  </w:style>
  <w:style w:type="paragraph" w:customStyle="1" w:styleId="41">
    <w:name w:val="修订2"/>
    <w:hidden/>
    <w:semiHidden/>
    <w:qFormat/>
    <w:uiPriority w:val="99"/>
    <w:rPr>
      <w:rFonts w:ascii="等线" w:hAnsi="等线" w:eastAsia="等线" w:cs="Times New Roman"/>
      <w:kern w:val="2"/>
      <w:sz w:val="21"/>
      <w:szCs w:val="22"/>
      <w:lang w:val="en-US" w:eastAsia="zh-CN" w:bidi="ar-SA"/>
    </w:rPr>
  </w:style>
  <w:style w:type="paragraph" w:customStyle="1" w:styleId="42">
    <w:name w:val="Revision"/>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12809</Words>
  <Characters>13481</Characters>
  <Lines>726</Lines>
  <Paragraphs>517</Paragraphs>
  <TotalTime>19</TotalTime>
  <ScaleCrop>false</ScaleCrop>
  <LinksUpToDate>false</LinksUpToDate>
  <CharactersWithSpaces>13502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2023-03-25T00:55:00Z</dcterms:created>
  <dc:creator>cfrlwj</dc:creator>
  <cp:lastModifiedBy>朱晓晶</cp:lastModifiedBy>
  <cp:lastPrinted>2023-05-17T20:14:00Z</cp:lastPrinted>
  <dcterms:modified xsi:type="dcterms:W3CDTF">2025-08-27T17:42:03Z</dcterms:modified>
  <cp:revision>572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9D5EA70BEC8C4530807E9A213CF47285_13</vt:lpwstr>
  </property>
  <property fmtid="{D5CDD505-2E9C-101B-9397-08002B2CF9AE}" pid="4" name="KSOTemplateDocerSaveRecord">
    <vt:lpwstr>eyJoZGlkIjoiNjg2Zjg1MDY2OGJiYTUzNTE1ZjMxZjFjOTBlOGI3N2MiLCJ1c2VySWQiOiIzMDU3NDk5ODQifQ==</vt:lpwstr>
  </property>
</Properties>
</file>