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360" w:lineRule="auto"/>
        <w:ind w:firstLine="1040"/>
        <w:jc w:val="center"/>
        <w:rPr>
          <w:rFonts w:eastAsia="黑体"/>
          <w:sz w:val="52"/>
          <w:szCs w:val="36"/>
        </w:rPr>
      </w:pPr>
    </w:p>
    <w:p>
      <w:pPr>
        <w:adjustRightInd w:val="0"/>
        <w:snapToGrid w:val="0"/>
        <w:spacing w:before="156" w:beforeLines="50" w:after="156" w:afterLines="50" w:line="360" w:lineRule="auto"/>
        <w:ind w:firstLine="1040"/>
        <w:jc w:val="center"/>
        <w:rPr>
          <w:rFonts w:eastAsia="黑体"/>
          <w:sz w:val="52"/>
          <w:szCs w:val="36"/>
        </w:rPr>
      </w:pPr>
    </w:p>
    <w:p>
      <w:pPr>
        <w:tabs>
          <w:tab w:val="left" w:pos="1740"/>
          <w:tab w:val="center" w:pos="4153"/>
        </w:tabs>
        <w:adjustRightInd w:val="0"/>
        <w:snapToGrid w:val="0"/>
        <w:spacing w:before="156" w:beforeLines="50" w:after="156" w:afterLines="50" w:line="360" w:lineRule="auto"/>
        <w:jc w:val="center"/>
        <w:rPr>
          <w:rFonts w:hint="eastAsia" w:ascii="楷体" w:hAnsi="楷体" w:eastAsia="楷体"/>
          <w:b/>
          <w:sz w:val="36"/>
          <w:szCs w:val="36"/>
          <w:lang w:val="zh-CN"/>
        </w:rPr>
      </w:pPr>
      <w:bookmarkStart w:id="0" w:name="_Hlk102901000"/>
      <w:r>
        <w:rPr>
          <w:rFonts w:hint="eastAsia" w:ascii="楷体" w:hAnsi="楷体" w:eastAsia="楷体"/>
          <w:b/>
          <w:sz w:val="36"/>
          <w:szCs w:val="36"/>
        </w:rPr>
        <w:t>北京市政务服务和数据管理局</w:t>
      </w:r>
    </w:p>
    <w:bookmarkEnd w:id="0"/>
    <w:p>
      <w:pPr>
        <w:adjustRightInd w:val="0"/>
        <w:snapToGrid w:val="0"/>
        <w:spacing w:line="360" w:lineRule="auto"/>
        <w:jc w:val="center"/>
        <w:rPr>
          <w:rFonts w:hint="eastAsia" w:ascii="楷体" w:hAnsi="楷体" w:eastAsia="楷体"/>
          <w:b/>
          <w:sz w:val="36"/>
          <w:szCs w:val="36"/>
          <w:lang w:val="zh-CN"/>
        </w:rPr>
      </w:pPr>
      <w:r>
        <w:rPr>
          <w:rFonts w:hint="eastAsia" w:ascii="楷体" w:hAnsi="楷体" w:eastAsia="楷体"/>
          <w:b/>
          <w:sz w:val="36"/>
          <w:szCs w:val="36"/>
        </w:rPr>
        <w:t>2024年度部门整体支出</w:t>
      </w:r>
    </w:p>
    <w:p>
      <w:pPr>
        <w:adjustRightInd w:val="0"/>
        <w:snapToGrid w:val="0"/>
        <w:spacing w:line="360" w:lineRule="auto"/>
        <w:jc w:val="center"/>
        <w:rPr>
          <w:rFonts w:hint="eastAsia" w:ascii="黑体" w:hAnsi="黑体" w:eastAsia="黑体"/>
          <w:b/>
          <w:sz w:val="72"/>
          <w:szCs w:val="72"/>
          <w:lang w:val="zh-CN"/>
        </w:rPr>
      </w:pPr>
      <w:r>
        <w:rPr>
          <w:rFonts w:hint="eastAsia" w:ascii="黑体" w:hAnsi="黑体" w:eastAsia="黑体"/>
          <w:b/>
          <w:sz w:val="72"/>
          <w:szCs w:val="72"/>
          <w:lang w:val="zh-CN"/>
        </w:rPr>
        <w:t>绩效评价报告</w:t>
      </w:r>
    </w:p>
    <w:p>
      <w:pPr>
        <w:adjustRightInd w:val="0"/>
        <w:snapToGrid w:val="0"/>
        <w:spacing w:before="156" w:beforeLines="50" w:after="156" w:afterLines="50" w:line="360" w:lineRule="auto"/>
        <w:ind w:firstLine="1040"/>
        <w:jc w:val="center"/>
        <w:rPr>
          <w:rFonts w:eastAsia="黑体"/>
          <w:sz w:val="52"/>
          <w:szCs w:val="36"/>
        </w:rPr>
      </w:pPr>
    </w:p>
    <w:p>
      <w:pPr>
        <w:adjustRightInd w:val="0"/>
        <w:snapToGrid w:val="0"/>
        <w:spacing w:before="156" w:beforeLines="50" w:after="156" w:afterLines="50" w:line="360" w:lineRule="auto"/>
        <w:ind w:firstLine="1040"/>
        <w:jc w:val="center"/>
        <w:rPr>
          <w:rFonts w:eastAsia="黑体"/>
          <w:sz w:val="52"/>
          <w:szCs w:val="36"/>
        </w:rPr>
      </w:pPr>
    </w:p>
    <w:p>
      <w:pPr>
        <w:adjustRightInd w:val="0"/>
        <w:snapToGrid w:val="0"/>
        <w:spacing w:before="156" w:beforeLines="50" w:after="156" w:afterLines="50" w:line="360" w:lineRule="auto"/>
        <w:ind w:firstLine="1040"/>
        <w:jc w:val="center"/>
        <w:rPr>
          <w:rFonts w:eastAsia="黑体"/>
          <w:sz w:val="52"/>
          <w:szCs w:val="36"/>
        </w:rPr>
      </w:pPr>
    </w:p>
    <w:p>
      <w:pPr>
        <w:adjustRightInd w:val="0"/>
        <w:snapToGrid w:val="0"/>
        <w:spacing w:before="156" w:beforeLines="50" w:after="156" w:afterLines="50" w:line="360" w:lineRule="auto"/>
        <w:ind w:firstLine="1040"/>
        <w:jc w:val="center"/>
        <w:rPr>
          <w:rFonts w:eastAsia="黑体"/>
          <w:sz w:val="52"/>
          <w:szCs w:val="36"/>
        </w:rPr>
      </w:pPr>
    </w:p>
    <w:p>
      <w:pPr>
        <w:adjustRightInd w:val="0"/>
        <w:snapToGrid w:val="0"/>
        <w:spacing w:before="156" w:beforeLines="50" w:after="156" w:afterLines="50" w:line="360" w:lineRule="auto"/>
        <w:ind w:firstLine="1040"/>
        <w:jc w:val="center"/>
        <w:rPr>
          <w:rFonts w:eastAsia="黑体"/>
          <w:sz w:val="52"/>
          <w:szCs w:val="36"/>
        </w:rPr>
      </w:pPr>
    </w:p>
    <w:p>
      <w:pPr>
        <w:adjustRightInd w:val="0"/>
        <w:snapToGrid w:val="0"/>
        <w:spacing w:line="360" w:lineRule="auto"/>
        <w:jc w:val="center"/>
        <w:rPr>
          <w:rFonts w:hint="eastAsia" w:ascii="楷体" w:hAnsi="楷体" w:eastAsia="楷体"/>
          <w:b/>
          <w:sz w:val="44"/>
          <w:szCs w:val="44"/>
        </w:rPr>
      </w:pPr>
      <w:r>
        <w:rPr>
          <w:rFonts w:hint="eastAsia" w:ascii="楷体" w:hAnsi="楷体" w:eastAsia="楷体"/>
          <w:b/>
          <w:sz w:val="44"/>
          <w:szCs w:val="44"/>
        </w:rPr>
        <w:t>北京市政务服务和数据管理局</w:t>
      </w:r>
    </w:p>
    <w:p>
      <w:pPr>
        <w:adjustRightInd w:val="0"/>
        <w:snapToGrid w:val="0"/>
        <w:spacing w:line="360" w:lineRule="auto"/>
        <w:ind w:firstLine="402"/>
        <w:jc w:val="center"/>
        <w:rPr>
          <w:rFonts w:hint="eastAsia" w:ascii="楷体" w:hAnsi="楷体" w:eastAsia="楷体"/>
          <w:b/>
          <w:sz w:val="20"/>
          <w:szCs w:val="20"/>
          <w:lang w:val="zh-CN"/>
        </w:rPr>
      </w:pPr>
    </w:p>
    <w:p>
      <w:pPr>
        <w:spacing w:line="560" w:lineRule="exact"/>
        <w:ind w:firstLine="720"/>
        <w:jc w:val="center"/>
        <w:rPr>
          <w:rFonts w:eastAsia="黑体"/>
          <w:sz w:val="36"/>
          <w:szCs w:val="36"/>
        </w:rPr>
        <w:sectPr>
          <w:footerReference r:id="rId4" w:type="default"/>
          <w:pgSz w:w="11906" w:h="16838"/>
          <w:pgMar w:top="1440" w:right="1474" w:bottom="1440" w:left="1588" w:header="851" w:footer="992" w:gutter="0"/>
          <w:pgNumType w:fmt="numberInDash"/>
          <w:cols w:space="425" w:num="1"/>
          <w:docGrid w:type="lines" w:linePitch="312" w:charSpace="0"/>
        </w:sectPr>
      </w:pPr>
      <w:bookmarkStart w:id="13" w:name="_GoBack"/>
      <w:bookmarkEnd w:id="13"/>
      <w:r>
        <w:rPr>
          <w:rFonts w:eastAsia="黑体"/>
          <w:sz w:val="36"/>
          <w:szCs w:val="36"/>
        </w:rPr>
        <w:br w:type="page"/>
      </w:r>
    </w:p>
    <w:p>
      <w:pPr>
        <w:adjustRightInd w:val="0"/>
        <w:snapToGrid w:val="0"/>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北京市政务服务和数据管理局</w:t>
      </w:r>
    </w:p>
    <w:p>
      <w:pPr>
        <w:adjustRightInd w:val="0"/>
        <w:snapToGrid w:val="0"/>
        <w:spacing w:line="560" w:lineRule="exact"/>
        <w:jc w:val="center"/>
        <w:rPr>
          <w:rFonts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rPr>
        <w:t>4年度部门整体支出绩效评价报告</w:t>
      </w:r>
    </w:p>
    <w:p>
      <w:pPr>
        <w:adjustRightInd w:val="0"/>
        <w:snapToGrid w:val="0"/>
        <w:spacing w:line="360" w:lineRule="auto"/>
        <w:jc w:val="center"/>
        <w:rPr>
          <w:rFonts w:ascii="仿宋_GB2312"/>
          <w:szCs w:val="30"/>
        </w:rPr>
      </w:pPr>
    </w:p>
    <w:p>
      <w:pPr>
        <w:adjustRightInd w:val="0"/>
        <w:snapToGrid w:val="0"/>
        <w:spacing w:line="560" w:lineRule="exact"/>
        <w:ind w:firstLine="640" w:firstLineChars="200"/>
        <w:outlineLvl w:val="0"/>
        <w:rPr>
          <w:rFonts w:hint="eastAsia" w:ascii="黑体" w:hAnsi="黑体" w:eastAsia="黑体" w:cs="宋体"/>
          <w:kern w:val="0"/>
          <w:sz w:val="32"/>
          <w:szCs w:val="32"/>
        </w:rPr>
      </w:pPr>
      <w:r>
        <w:rPr>
          <w:rFonts w:hint="eastAsia" w:ascii="黑体" w:hAnsi="黑体" w:eastAsia="黑体" w:cs="宋体"/>
          <w:kern w:val="0"/>
          <w:sz w:val="32"/>
          <w:szCs w:val="32"/>
        </w:rPr>
        <w:t>一、部门概况</w:t>
      </w: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w:t>
      </w:r>
      <w:r>
        <w:rPr>
          <w:rFonts w:ascii="仿宋_GB2312" w:eastAsia="仿宋_GB2312"/>
          <w:bCs/>
          <w:sz w:val="32"/>
          <w:szCs w:val="32"/>
        </w:rPr>
        <w:t>.</w:t>
      </w:r>
      <w:r>
        <w:rPr>
          <w:rFonts w:hint="eastAsia" w:ascii="仿宋_GB2312" w:eastAsia="仿宋_GB2312"/>
          <w:bCs/>
          <w:sz w:val="32"/>
          <w:szCs w:val="32"/>
        </w:rPr>
        <w:t>部门组织架构与职能职责</w:t>
      </w:r>
    </w:p>
    <w:p>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北京市政务服务和数据管理局（以下简称“市政务和数据局”）于2024年1月正式组建，主要承担以下十项职责：一是起草本市有关地方性法规草案、政府规章草案并组织实施。二是统筹推进本市政府职能转变和行政审批制度改革工作。拟订改革规划、计划和相关政策措施并组织实施。组织开展重大问题调查研究，协调解决改革中遇到的重点难点问题。优化政务服务效能，推动“高效办成一件事”，协调、指导、督促各区各部门落实改革重大任务。规范管理本市行政许可等政务服务事项，规范行政备案、办事证明等管理服务。三是协调推进本市政务服务体系建设。组织推动政务服务标准化、规范化、便利化。指导、协调、监督各级各类政务服务平台的建设、管理工作。统筹指导本市政务服务专业化队伍建设。负责北京市政务服务中心的建设、运行和管理。协调推动政务服务区域协同发展和国际化服务工作。四是统筹推进本市数字政务建设。统筹本市政务服务“一张网”和一体化政务服务平台的建设、管理工作，协调推进本市与国家政务服务平台的信息共享与业务协同。统筹协调政务服务信息化建设和政务信息安全管理工作。推进、指导、监督本市政府网站和政府系统政务新媒体建设、发展。负责市政府门户网站、国际版门户网站的管理工作。五是负责推进、指导、协调、监督本市政府信息公开和政务公开工作。依法协调受理公民、法人或其他组织获取市政府信息的申请。组织推进政务公开和政策服务制度化、信息化、标准化建设。统筹协调本市政府系统政务公开渠道建设工作。六是负责接诉即办工作的组织协调，规划建设接诉即办平台，制定接诉即办工作制度、流程和规范。管理市民热线服务工作机构并监督其开展工作。七是统筹推进智慧城市建设和全市数据工作。组织拟订智慧城市建设、数据工作及有关数字基础设施布局规划，协调推进有关数字基础设施布局建设。协调推动公共服务和社会治理信息化。协调推进数据领域核心技术、关键设备等创新攻关和应用推广。八是协调推进数据要素产权、流通、分配、治理等数据基础制度建设，指导数据要素市场建设，牵头起草相关法规草案、拟订相关指标标准规范。在具体承担数据基础制度建设、数据要素市场建设、数据标准规范、数据基础设施建设等职责中，履行相应数据安全职责，负责拟订相关数据安全政策并组织实施。九是统筹数据资源整合共享和开发利用。协调推进数据资源分类分级管理，组织推动公共数据资源开发利用，推动信息资源跨行业跨部门互联互通。负责政务数据和相关社会数据的整合、管理、应用和服务体系建设工作。十是完成市委、市政府交办的其他任务。</w:t>
      </w:r>
    </w:p>
    <w:p>
      <w:pPr>
        <w:adjustRightInd w:val="0"/>
        <w:snapToGrid w:val="0"/>
        <w:spacing w:line="560" w:lineRule="exact"/>
        <w:ind w:left="0" w:leftChars="0" w:firstLine="640" w:firstLineChars="200"/>
        <w:jc w:val="both"/>
        <w:rPr>
          <w:rFonts w:hint="eastAsia" w:ascii="黑体" w:hAnsi="黑体" w:eastAsia="黑体" w:cs="黑体"/>
          <w:sz w:val="28"/>
          <w:szCs w:val="28"/>
        </w:rPr>
      </w:pPr>
      <w:r>
        <w:rPr>
          <w:rFonts w:hint="eastAsia" w:ascii="仿宋_GB2312" w:eastAsia="仿宋_GB2312"/>
          <w:bCs/>
          <w:sz w:val="32"/>
          <w:szCs w:val="32"/>
        </w:rPr>
        <w:t>市政务和数据局设17个内设机构和机关党委、机关纪委、工会，其所属事业单位4个，即:北京市市民热线服务中心（以下简称“市民热线服务中心”）；北京市大数据中心（以下简称“市大数据中心”）；首都之窗运行管理中心；北京市政务服务中心（以下简称“市政务服务中心”）。</w:t>
      </w:r>
    </w:p>
    <w:p>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2.</w:t>
      </w:r>
      <w:r>
        <w:rPr>
          <w:rFonts w:hint="eastAsia" w:ascii="仿宋_GB2312" w:eastAsia="仿宋_GB2312"/>
          <w:bCs/>
          <w:sz w:val="32"/>
          <w:szCs w:val="32"/>
        </w:rPr>
        <w:t>部门2</w:t>
      </w:r>
      <w:r>
        <w:rPr>
          <w:rFonts w:ascii="仿宋_GB2312" w:eastAsia="仿宋_GB2312"/>
          <w:bCs/>
          <w:sz w:val="32"/>
          <w:szCs w:val="32"/>
        </w:rPr>
        <w:t>02</w:t>
      </w:r>
      <w:r>
        <w:rPr>
          <w:rFonts w:hint="eastAsia" w:ascii="仿宋_GB2312" w:eastAsia="仿宋_GB2312"/>
          <w:bCs/>
          <w:sz w:val="32"/>
          <w:szCs w:val="32"/>
        </w:rPr>
        <w:t>4年工作任务情况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bidi="ar"/>
        </w:rPr>
        <w:t>2024年，是实现“十四五”规划目标任务的关键一年，也是首都政务服务和数据管理整装再出发、进入新阶段、实现新发展的重要一年。</w:t>
      </w:r>
      <w:r>
        <w:rPr>
          <w:rFonts w:hint="eastAsia" w:ascii="仿宋_GB2312" w:eastAsia="仿宋_GB2312"/>
          <w:bCs/>
          <w:sz w:val="32"/>
          <w:szCs w:val="32"/>
        </w:rPr>
        <w:t>为全面贯彻落实党的二十大和二十届二中全会精神，在以往年度政务服务相关行动计划圆满完成的基础上，2024年市政务和数据局制定了《</w:t>
      </w:r>
      <w:r>
        <w:rPr>
          <w:rFonts w:hint="eastAsia" w:ascii="仿宋_GB2312" w:hAnsi="仿宋_GB2312" w:eastAsia="仿宋_GB2312" w:cs="仿宋_GB2312"/>
          <w:bCs/>
          <w:sz w:val="32"/>
          <w:szCs w:val="32"/>
        </w:rPr>
        <w:t>北京市2024年政务服务和数据管理工作要点</w:t>
      </w:r>
      <w:r>
        <w:rPr>
          <w:rFonts w:hint="eastAsia" w:ascii="仿宋_GB2312" w:eastAsia="仿宋_GB2312"/>
          <w:bCs/>
          <w:sz w:val="32"/>
          <w:szCs w:val="32"/>
        </w:rPr>
        <w:t>》，旨在以新时代首都发展为统领，以打造“北京服务”为主线，强化改革引领和数字赋能双轮驱动，着力夯基础、拓视野、促改革、强数据、优服务，提升群众企业获得感和满意度，推动政务服务和数据管理高质量发展。具体工作任务</w:t>
      </w:r>
      <w:r>
        <w:rPr>
          <w:rFonts w:hint="eastAsia" w:ascii="仿宋_GB2312" w:eastAsia="仿宋_GB2312"/>
          <w:sz w:val="32"/>
          <w:szCs w:val="32"/>
        </w:rPr>
        <w:t>见表1。</w:t>
      </w:r>
    </w:p>
    <w:p>
      <w:pPr>
        <w:adjustRightInd w:val="0"/>
        <w:snapToGrid w:val="0"/>
        <w:spacing w:line="560" w:lineRule="exact"/>
        <w:jc w:val="center"/>
        <w:rPr>
          <w:rFonts w:hint="eastAsia" w:ascii="黑体" w:hAnsi="黑体" w:eastAsia="黑体"/>
          <w:sz w:val="28"/>
          <w:szCs w:val="28"/>
        </w:rPr>
      </w:pPr>
      <w:r>
        <w:rPr>
          <w:rFonts w:hint="eastAsia" w:ascii="黑体" w:hAnsi="黑体" w:eastAsia="黑体"/>
          <w:sz w:val="28"/>
          <w:szCs w:val="28"/>
        </w:rPr>
        <w:t>表1：市政务和数据局2</w:t>
      </w:r>
      <w:r>
        <w:rPr>
          <w:rFonts w:ascii="黑体" w:hAnsi="黑体" w:eastAsia="黑体"/>
          <w:sz w:val="28"/>
          <w:szCs w:val="28"/>
        </w:rPr>
        <w:t>02</w:t>
      </w:r>
      <w:r>
        <w:rPr>
          <w:rFonts w:hint="eastAsia" w:ascii="黑体" w:hAnsi="黑体" w:eastAsia="黑体"/>
          <w:sz w:val="28"/>
          <w:szCs w:val="28"/>
        </w:rPr>
        <w:t>4年主要任务情况</w:t>
      </w:r>
      <w:r>
        <w:rPr>
          <w:rFonts w:ascii="黑体" w:hAnsi="黑体" w:eastAsia="黑体"/>
          <w:sz w:val="28"/>
          <w:szCs w:val="28"/>
        </w:rPr>
        <w:t>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5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539" w:type="dxa"/>
            <w:vAlign w:val="center"/>
          </w:tcPr>
          <w:p>
            <w:pPr>
              <w:widowControl/>
              <w:adjustRightInd w:val="0"/>
              <w:snapToGrid w:val="0"/>
              <w:jc w:val="center"/>
              <w:textAlignment w:val="center"/>
              <w:rPr>
                <w:rFonts w:hint="eastAsia" w:ascii="宋体" w:hAnsi="宋体" w:cs="宋体"/>
                <w:b/>
                <w:bCs/>
                <w:sz w:val="20"/>
                <w:szCs w:val="20"/>
              </w:rPr>
            </w:pPr>
            <w:r>
              <w:rPr>
                <w:rFonts w:hint="eastAsia" w:ascii="宋体" w:hAnsi="宋体" w:cs="宋体"/>
                <w:b/>
                <w:bCs/>
                <w:kern w:val="0"/>
                <w:sz w:val="20"/>
                <w:szCs w:val="20"/>
                <w:lang w:bidi="ar"/>
              </w:rPr>
              <w:t>主要任务</w:t>
            </w:r>
          </w:p>
        </w:tc>
        <w:tc>
          <w:tcPr>
            <w:tcW w:w="5295" w:type="dxa"/>
            <w:vAlign w:val="center"/>
          </w:tcPr>
          <w:p>
            <w:pPr>
              <w:widowControl/>
              <w:adjustRightInd w:val="0"/>
              <w:snapToGrid w:val="0"/>
              <w:jc w:val="center"/>
              <w:textAlignment w:val="center"/>
              <w:rPr>
                <w:rFonts w:hint="eastAsia" w:ascii="宋体" w:hAnsi="宋体" w:cs="宋体"/>
                <w:b/>
                <w:bCs/>
                <w:sz w:val="20"/>
                <w:szCs w:val="20"/>
              </w:rPr>
            </w:pPr>
            <w:r>
              <w:rPr>
                <w:rFonts w:hint="eastAsia" w:ascii="宋体" w:hAnsi="宋体" w:cs="宋体"/>
                <w:b/>
                <w:bCs/>
                <w:kern w:val="0"/>
                <w:sz w:val="20"/>
                <w:szCs w:val="20"/>
                <w:lang w:bidi="ar"/>
              </w:rPr>
              <w:t>具体工作内容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7" w:hRule="atLeast"/>
        </w:trPr>
        <w:tc>
          <w:tcPr>
            <w:tcW w:w="3539" w:type="dxa"/>
            <w:vAlign w:val="center"/>
          </w:tcPr>
          <w:p>
            <w:pPr>
              <w:adjustRightInd w:val="0"/>
              <w:snapToGrid w:val="0"/>
              <w:rPr>
                <w:rFonts w:ascii="仿宋_GB2312" w:eastAsia="仿宋_GB2312"/>
                <w:sz w:val="32"/>
                <w:szCs w:val="32"/>
              </w:rPr>
            </w:pPr>
            <w:r>
              <w:rPr>
                <w:rFonts w:hint="eastAsia" w:ascii="宋体" w:hAnsi="宋体" w:cs="宋体"/>
                <w:b/>
                <w:bCs/>
                <w:kern w:val="0"/>
                <w:sz w:val="20"/>
                <w:szCs w:val="20"/>
                <w:lang w:bidi="ar"/>
              </w:rPr>
              <w:t>一、深化党建引领接诉即办改革，以市民诉求驱动超大城市现代化治理</w:t>
            </w:r>
          </w:p>
        </w:tc>
        <w:tc>
          <w:tcPr>
            <w:tcW w:w="5295" w:type="dxa"/>
            <w:vAlign w:val="center"/>
          </w:tcPr>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1.研究制定深化接诉即办改革工作意见。</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2.办好接诉即办改革论坛。</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3.持续深化“每月一题”专项治理。</w:t>
            </w:r>
            <w:r>
              <w:rPr>
                <w:rFonts w:hint="eastAsia" w:ascii="宋体" w:hAnsi="宋体" w:cs="宋体"/>
                <w:kern w:val="0"/>
                <w:sz w:val="20"/>
                <w:szCs w:val="20"/>
                <w:lang w:bidi="ar"/>
              </w:rPr>
              <w:br w:type="textWrapping"/>
            </w:r>
            <w:r>
              <w:rPr>
                <w:rFonts w:hint="eastAsia" w:ascii="宋体" w:hAnsi="宋体" w:cs="宋体"/>
                <w:kern w:val="0"/>
                <w:sz w:val="20"/>
                <w:szCs w:val="20"/>
                <w:lang w:bidi="ar"/>
              </w:rPr>
              <w:t>4.推进市民服务热线数智化建设。</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5.打造为企服务“总客服”。</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6.完善接诉即办机制。</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7.加强接诉即办文化建设。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trPr>
        <w:tc>
          <w:tcPr>
            <w:tcW w:w="3539" w:type="dxa"/>
            <w:vAlign w:val="center"/>
          </w:tcPr>
          <w:p>
            <w:pPr>
              <w:adjustRightInd w:val="0"/>
              <w:snapToGrid w:val="0"/>
              <w:rPr>
                <w:rFonts w:ascii="仿宋_GB2312" w:eastAsia="仿宋_GB2312"/>
                <w:sz w:val="32"/>
                <w:szCs w:val="32"/>
              </w:rPr>
            </w:pPr>
            <w:r>
              <w:rPr>
                <w:rFonts w:hint="eastAsia" w:ascii="宋体" w:hAnsi="宋体" w:cs="宋体"/>
                <w:b/>
                <w:bCs/>
                <w:kern w:val="0"/>
                <w:sz w:val="20"/>
                <w:szCs w:val="20"/>
                <w:lang w:bidi="ar"/>
              </w:rPr>
              <w:t>二、优化政务服务环境，助力打造“北京服务”品牌</w:t>
            </w:r>
          </w:p>
        </w:tc>
        <w:tc>
          <w:tcPr>
            <w:tcW w:w="5295" w:type="dxa"/>
          </w:tcPr>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8.完善政务服务事项管理。</w:t>
            </w:r>
            <w:r>
              <w:rPr>
                <w:rFonts w:hint="eastAsia" w:ascii="宋体" w:hAnsi="宋体" w:cs="宋体"/>
                <w:kern w:val="0"/>
                <w:sz w:val="20"/>
                <w:szCs w:val="20"/>
                <w:lang w:bidi="ar"/>
              </w:rPr>
              <w:br w:type="textWrapping"/>
            </w:r>
            <w:r>
              <w:rPr>
                <w:rFonts w:hint="eastAsia" w:ascii="宋体" w:hAnsi="宋体" w:cs="宋体"/>
                <w:kern w:val="0"/>
                <w:sz w:val="20"/>
                <w:szCs w:val="20"/>
                <w:lang w:bidi="ar"/>
              </w:rPr>
              <w:t>9.积极推进“高效办成一件事”等集成服务改革。</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10.抓好政务服务协同和质效监测评价。</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11.加强政务服务标准化建设。</w:t>
            </w:r>
          </w:p>
          <w:p>
            <w:pPr>
              <w:adjustRightInd w:val="0"/>
              <w:snapToGrid w:val="0"/>
              <w:rPr>
                <w:rFonts w:ascii="仿宋_GB2312" w:eastAsia="仿宋_GB2312"/>
                <w:sz w:val="32"/>
                <w:szCs w:val="32"/>
              </w:rPr>
            </w:pPr>
            <w:r>
              <w:rPr>
                <w:rFonts w:hint="eastAsia" w:ascii="宋体" w:hAnsi="宋体" w:cs="宋体"/>
                <w:kern w:val="0"/>
                <w:sz w:val="20"/>
                <w:szCs w:val="20"/>
                <w:lang w:bidi="ar"/>
              </w:rPr>
              <w:t>12.提升政务服务效能。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3539" w:type="dxa"/>
            <w:vAlign w:val="center"/>
          </w:tcPr>
          <w:p>
            <w:pPr>
              <w:adjustRightInd w:val="0"/>
              <w:snapToGrid w:val="0"/>
              <w:rPr>
                <w:rFonts w:ascii="仿宋_GB2312" w:eastAsia="仿宋_GB2312"/>
                <w:sz w:val="32"/>
                <w:szCs w:val="32"/>
              </w:rPr>
            </w:pPr>
            <w:r>
              <w:rPr>
                <w:rFonts w:hint="eastAsia" w:ascii="宋体" w:hAnsi="宋体" w:cs="宋体"/>
                <w:b/>
                <w:bCs/>
                <w:kern w:val="0"/>
                <w:sz w:val="20"/>
                <w:szCs w:val="20"/>
                <w:lang w:bidi="ar"/>
              </w:rPr>
              <w:t>三、加快数字政务改革，优化利企便民数字化服务</w:t>
            </w:r>
          </w:p>
        </w:tc>
        <w:tc>
          <w:tcPr>
            <w:tcW w:w="5295" w:type="dxa"/>
            <w:vAlign w:val="center"/>
          </w:tcPr>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13.加强数字政务建设统筹谋划。</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14.提升“一网通办”服务体验。</w:t>
            </w:r>
          </w:p>
          <w:p>
            <w:pPr>
              <w:adjustRightInd w:val="0"/>
              <w:snapToGrid w:val="0"/>
              <w:rPr>
                <w:rFonts w:ascii="仿宋_GB2312" w:eastAsia="仿宋_GB2312"/>
                <w:sz w:val="32"/>
                <w:szCs w:val="32"/>
              </w:rPr>
            </w:pPr>
            <w:r>
              <w:rPr>
                <w:rFonts w:hint="eastAsia" w:ascii="宋体" w:hAnsi="宋体" w:cs="宋体"/>
                <w:kern w:val="0"/>
                <w:sz w:val="20"/>
                <w:szCs w:val="20"/>
                <w:lang w:bidi="ar"/>
              </w:rPr>
              <w:t>15.推进政务服务数据共享。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trPr>
        <w:tc>
          <w:tcPr>
            <w:tcW w:w="3539" w:type="dxa"/>
            <w:vAlign w:val="center"/>
          </w:tcPr>
          <w:p>
            <w:pPr>
              <w:adjustRightInd w:val="0"/>
              <w:snapToGrid w:val="0"/>
              <w:rPr>
                <w:rFonts w:ascii="仿宋_GB2312" w:eastAsia="仿宋_GB2312"/>
                <w:sz w:val="32"/>
                <w:szCs w:val="32"/>
              </w:rPr>
            </w:pPr>
            <w:r>
              <w:rPr>
                <w:rFonts w:hint="eastAsia" w:ascii="宋体" w:hAnsi="宋体" w:cs="宋体"/>
                <w:b/>
                <w:bCs/>
                <w:kern w:val="0"/>
                <w:sz w:val="20"/>
                <w:szCs w:val="20"/>
                <w:lang w:bidi="ar"/>
              </w:rPr>
              <w:t>四、大力加强智慧城市建设，提升智慧化新体验</w:t>
            </w:r>
          </w:p>
        </w:tc>
        <w:tc>
          <w:tcPr>
            <w:tcW w:w="5295" w:type="dxa"/>
            <w:vAlign w:val="center"/>
          </w:tcPr>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16.优化规划管控体系。</w:t>
            </w:r>
            <w:r>
              <w:rPr>
                <w:rStyle w:val="39"/>
                <w:rFonts w:hint="default"/>
                <w:color w:val="auto"/>
                <w:lang w:bidi="ar"/>
              </w:rPr>
              <w:br w:type="textWrapping"/>
            </w:r>
            <w:r>
              <w:rPr>
                <w:rFonts w:hint="eastAsia" w:ascii="宋体" w:hAnsi="宋体" w:cs="宋体"/>
                <w:kern w:val="0"/>
                <w:sz w:val="20"/>
                <w:szCs w:val="20"/>
                <w:lang w:bidi="ar"/>
              </w:rPr>
              <w:t>17.提升“七通”共性基础能力。</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18.优化“一网统管”“一网慧治”。</w:t>
            </w:r>
          </w:p>
          <w:p>
            <w:pPr>
              <w:adjustRightInd w:val="0"/>
              <w:snapToGrid w:val="0"/>
              <w:rPr>
                <w:rFonts w:ascii="仿宋_GB2312" w:eastAsia="仿宋_GB2312"/>
                <w:sz w:val="32"/>
                <w:szCs w:val="32"/>
              </w:rPr>
            </w:pPr>
            <w:r>
              <w:rPr>
                <w:rFonts w:hint="eastAsia" w:ascii="宋体" w:hAnsi="宋体" w:cs="宋体"/>
                <w:kern w:val="0"/>
                <w:sz w:val="20"/>
                <w:szCs w:val="20"/>
                <w:lang w:bidi="ar"/>
              </w:rPr>
              <w:t>19.加强场景创新应用。</w:t>
            </w:r>
            <w:r>
              <w:rPr>
                <w:rStyle w:val="39"/>
                <w:rFonts w:hint="default"/>
                <w:color w:val="auto"/>
                <w:lang w:bidi="ar"/>
              </w:rPr>
              <w:br w:type="textWrapping"/>
            </w:r>
            <w:r>
              <w:rPr>
                <w:rFonts w:hint="eastAsia" w:ascii="宋体" w:hAnsi="宋体" w:cs="宋体"/>
                <w:kern w:val="0"/>
                <w:sz w:val="20"/>
                <w:szCs w:val="20"/>
                <w:lang w:bidi="ar"/>
              </w:rPr>
              <w:t>20.提升安全运维保障能力。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3539" w:type="dxa"/>
            <w:vAlign w:val="center"/>
          </w:tcPr>
          <w:p>
            <w:pPr>
              <w:adjustRightInd w:val="0"/>
              <w:snapToGrid w:val="0"/>
              <w:rPr>
                <w:rFonts w:ascii="仿宋_GB2312" w:eastAsia="仿宋_GB2312"/>
                <w:sz w:val="32"/>
                <w:szCs w:val="32"/>
              </w:rPr>
            </w:pPr>
            <w:r>
              <w:rPr>
                <w:rFonts w:hint="eastAsia" w:ascii="宋体" w:hAnsi="宋体" w:cs="宋体"/>
                <w:b/>
                <w:bCs/>
                <w:kern w:val="0"/>
                <w:sz w:val="20"/>
                <w:szCs w:val="20"/>
                <w:lang w:bidi="ar"/>
              </w:rPr>
              <w:t>五、开展数乘行动，发挥数据要素倍增作用</w:t>
            </w:r>
          </w:p>
        </w:tc>
        <w:tc>
          <w:tcPr>
            <w:tcW w:w="5295" w:type="dxa"/>
            <w:vAlign w:val="center"/>
          </w:tcPr>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21.健全数据基础制度体系。</w:t>
            </w:r>
            <w:r>
              <w:rPr>
                <w:rStyle w:val="39"/>
                <w:rFonts w:hint="default"/>
                <w:color w:val="auto"/>
                <w:lang w:bidi="ar"/>
              </w:rPr>
              <w:br w:type="textWrapping"/>
            </w:r>
            <w:r>
              <w:rPr>
                <w:rFonts w:hint="eastAsia" w:ascii="宋体" w:hAnsi="宋体" w:cs="宋体"/>
                <w:kern w:val="0"/>
                <w:sz w:val="20"/>
                <w:szCs w:val="20"/>
                <w:lang w:bidi="ar"/>
              </w:rPr>
              <w:t>22.打造数据先行区和示范工程。</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23.全面提升数据基础质量。</w:t>
            </w:r>
          </w:p>
          <w:p>
            <w:pPr>
              <w:adjustRightInd w:val="0"/>
              <w:snapToGrid w:val="0"/>
              <w:rPr>
                <w:rFonts w:ascii="仿宋_GB2312" w:eastAsia="仿宋_GB2312"/>
                <w:sz w:val="32"/>
                <w:szCs w:val="32"/>
              </w:rPr>
            </w:pPr>
            <w:r>
              <w:rPr>
                <w:rFonts w:hint="eastAsia" w:ascii="宋体" w:hAnsi="宋体" w:cs="宋体"/>
                <w:kern w:val="0"/>
                <w:sz w:val="20"/>
                <w:szCs w:val="20"/>
                <w:lang w:bidi="ar"/>
              </w:rPr>
              <w:t>24.充分激活数据资源价值。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3539" w:type="dxa"/>
            <w:vAlign w:val="center"/>
          </w:tcPr>
          <w:p>
            <w:pPr>
              <w:adjustRightInd w:val="0"/>
              <w:snapToGrid w:val="0"/>
              <w:rPr>
                <w:rFonts w:ascii="仿宋_GB2312" w:eastAsia="仿宋_GB2312"/>
                <w:sz w:val="32"/>
                <w:szCs w:val="32"/>
              </w:rPr>
            </w:pPr>
            <w:r>
              <w:rPr>
                <w:rFonts w:hint="eastAsia" w:ascii="宋体" w:hAnsi="宋体" w:cs="宋体"/>
                <w:b/>
                <w:bCs/>
                <w:kern w:val="0"/>
                <w:sz w:val="20"/>
                <w:szCs w:val="20"/>
                <w:lang w:bidi="ar"/>
              </w:rPr>
              <w:t>六、优化政策服务，提升政务公开质效</w:t>
            </w:r>
          </w:p>
        </w:tc>
        <w:tc>
          <w:tcPr>
            <w:tcW w:w="5295" w:type="dxa"/>
          </w:tcPr>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25.深化“京策”平台建设。</w:t>
            </w:r>
          </w:p>
          <w:p>
            <w:pPr>
              <w:adjustRightInd w:val="0"/>
              <w:snapToGrid w:val="0"/>
              <w:rPr>
                <w:rFonts w:ascii="仿宋_GB2312" w:eastAsia="仿宋_GB2312"/>
                <w:sz w:val="32"/>
                <w:szCs w:val="32"/>
              </w:rPr>
            </w:pPr>
            <w:r>
              <w:rPr>
                <w:rFonts w:hint="eastAsia" w:ascii="宋体" w:hAnsi="宋体" w:cs="宋体"/>
                <w:kern w:val="0"/>
                <w:sz w:val="20"/>
                <w:szCs w:val="20"/>
                <w:lang w:bidi="ar"/>
              </w:rPr>
              <w:t>26.做好新时代政务公开工作。</w:t>
            </w:r>
            <w:r>
              <w:rPr>
                <w:rStyle w:val="39"/>
                <w:rFonts w:hint="default"/>
                <w:color w:val="auto"/>
                <w:lang w:bidi="ar"/>
              </w:rPr>
              <w:br w:type="textWrapping"/>
            </w:r>
            <w:r>
              <w:rPr>
                <w:rFonts w:hint="eastAsia" w:ascii="宋体" w:hAnsi="宋体" w:cs="宋体"/>
                <w:kern w:val="0"/>
                <w:sz w:val="20"/>
                <w:szCs w:val="20"/>
                <w:lang w:bidi="ar"/>
              </w:rPr>
              <w:t>27.做好政策性文件和市政府重大决策部署解读。</w:t>
            </w:r>
            <w:r>
              <w:rPr>
                <w:rStyle w:val="39"/>
                <w:rFonts w:hint="default"/>
                <w:color w:val="auto"/>
                <w:lang w:bidi="ar"/>
              </w:rPr>
              <w:br w:type="textWrapping"/>
            </w:r>
            <w:r>
              <w:rPr>
                <w:rFonts w:hint="eastAsia" w:ascii="宋体" w:hAnsi="宋体" w:cs="宋体"/>
                <w:kern w:val="0"/>
                <w:sz w:val="20"/>
                <w:szCs w:val="20"/>
                <w:lang w:bidi="ar"/>
              </w:rPr>
              <w:t>28.加强政府网站和政务新媒体建设管理。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3539" w:type="dxa"/>
            <w:vAlign w:val="center"/>
          </w:tcPr>
          <w:p>
            <w:pPr>
              <w:adjustRightInd w:val="0"/>
              <w:snapToGrid w:val="0"/>
              <w:rPr>
                <w:rFonts w:ascii="仿宋_GB2312" w:eastAsia="仿宋_GB2312"/>
                <w:sz w:val="32"/>
                <w:szCs w:val="32"/>
              </w:rPr>
            </w:pPr>
            <w:r>
              <w:rPr>
                <w:rFonts w:hint="eastAsia" w:ascii="宋体" w:hAnsi="宋体" w:cs="宋体"/>
                <w:b/>
                <w:bCs/>
                <w:kern w:val="0"/>
                <w:sz w:val="20"/>
                <w:szCs w:val="20"/>
                <w:lang w:bidi="ar"/>
              </w:rPr>
              <w:t>七、加强政务服务协同，推动京津冀协同发展走深走实</w:t>
            </w:r>
          </w:p>
        </w:tc>
        <w:tc>
          <w:tcPr>
            <w:tcW w:w="5295" w:type="dxa"/>
            <w:vAlign w:val="center"/>
          </w:tcPr>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29.围绕京津冀协同发展优化政务服务。</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30.提速“北京+雄安”政务服务同城化发展。</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31.支持城市副中心政务服务高质量发展。</w:t>
            </w:r>
          </w:p>
          <w:p>
            <w:pPr>
              <w:adjustRightInd w:val="0"/>
              <w:snapToGrid w:val="0"/>
              <w:rPr>
                <w:rFonts w:hint="eastAsia" w:ascii="宋体" w:hAnsi="宋体" w:cs="宋体"/>
                <w:kern w:val="0"/>
                <w:sz w:val="20"/>
                <w:szCs w:val="20"/>
                <w:lang w:bidi="ar"/>
              </w:rPr>
            </w:pPr>
            <w:r>
              <w:rPr>
                <w:rFonts w:hint="eastAsia" w:ascii="宋体" w:hAnsi="宋体" w:cs="宋体"/>
                <w:kern w:val="0"/>
                <w:sz w:val="20"/>
                <w:szCs w:val="20"/>
                <w:lang w:bidi="ar"/>
              </w:rPr>
              <w:t>32.推动京津冀热线协同发展。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3539" w:type="dxa"/>
            <w:vAlign w:val="center"/>
          </w:tcPr>
          <w:p>
            <w:pPr>
              <w:widowControl/>
              <w:adjustRightInd w:val="0"/>
              <w:snapToGrid w:val="0"/>
              <w:jc w:val="left"/>
              <w:textAlignment w:val="center"/>
              <w:rPr>
                <w:rFonts w:hint="eastAsia" w:ascii="宋体" w:hAnsi="宋体" w:cs="宋体"/>
                <w:b/>
                <w:bCs/>
                <w:sz w:val="20"/>
                <w:szCs w:val="20"/>
              </w:rPr>
            </w:pPr>
            <w:r>
              <w:rPr>
                <w:rFonts w:hint="eastAsia" w:ascii="宋体" w:hAnsi="宋体" w:cs="宋体"/>
                <w:b/>
                <w:bCs/>
                <w:kern w:val="0"/>
                <w:sz w:val="20"/>
                <w:szCs w:val="20"/>
                <w:lang w:bidi="ar"/>
              </w:rPr>
              <w:t>八、推进城市国际化服务，更好服务高水平开放</w:t>
            </w:r>
          </w:p>
        </w:tc>
        <w:tc>
          <w:tcPr>
            <w:tcW w:w="5295" w:type="dxa"/>
            <w:vAlign w:val="center"/>
          </w:tcPr>
          <w:p>
            <w:pPr>
              <w:widowControl/>
              <w:adjustRightInd w:val="0"/>
              <w:snapToGrid w:val="0"/>
              <w:jc w:val="left"/>
              <w:textAlignment w:val="center"/>
              <w:rPr>
                <w:rFonts w:hint="eastAsia" w:ascii="宋体" w:hAnsi="宋体" w:cs="宋体"/>
                <w:sz w:val="20"/>
                <w:szCs w:val="20"/>
              </w:rPr>
            </w:pPr>
            <w:r>
              <w:rPr>
                <w:rFonts w:hint="eastAsia" w:ascii="宋体" w:hAnsi="宋体" w:cs="宋体"/>
                <w:kern w:val="0"/>
                <w:sz w:val="20"/>
                <w:szCs w:val="20"/>
                <w:lang w:bidi="ar"/>
              </w:rPr>
              <w:t>33.加强国际化服务统筹。</w:t>
            </w:r>
            <w:r>
              <w:rPr>
                <w:rStyle w:val="39"/>
                <w:rFonts w:hint="default"/>
                <w:color w:val="auto"/>
                <w:lang w:bidi="ar"/>
              </w:rPr>
              <w:br w:type="textWrapping"/>
            </w:r>
            <w:r>
              <w:rPr>
                <w:rFonts w:hint="eastAsia" w:ascii="宋体" w:hAnsi="宋体" w:cs="宋体"/>
                <w:kern w:val="0"/>
                <w:sz w:val="20"/>
                <w:szCs w:val="20"/>
                <w:lang w:bidi="ar"/>
              </w:rPr>
              <w:t>34.健全国际化服务矩阵。</w:t>
            </w:r>
            <w:r>
              <w:rPr>
                <w:rStyle w:val="39"/>
                <w:rFonts w:hint="default"/>
                <w:color w:val="auto"/>
                <w:lang w:bidi="ar"/>
              </w:rPr>
              <w:br w:type="textWrapping"/>
            </w:r>
            <w:r>
              <w:rPr>
                <w:rFonts w:hint="eastAsia" w:ascii="宋体" w:hAnsi="宋体" w:cs="宋体"/>
                <w:kern w:val="0"/>
                <w:sz w:val="20"/>
                <w:szCs w:val="20"/>
                <w:lang w:bidi="ar"/>
              </w:rPr>
              <w:t>35.推动涉外数据资源共享应用。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3539" w:type="dxa"/>
            <w:vAlign w:val="center"/>
          </w:tcPr>
          <w:p>
            <w:pPr>
              <w:widowControl/>
              <w:adjustRightInd w:val="0"/>
              <w:snapToGrid w:val="0"/>
              <w:jc w:val="left"/>
              <w:textAlignment w:val="center"/>
              <w:rPr>
                <w:rFonts w:hint="eastAsia" w:ascii="宋体" w:hAnsi="宋体" w:cs="宋体"/>
                <w:b/>
                <w:bCs/>
                <w:sz w:val="20"/>
                <w:szCs w:val="20"/>
              </w:rPr>
            </w:pPr>
            <w:r>
              <w:rPr>
                <w:rFonts w:hint="eastAsia" w:ascii="宋体" w:hAnsi="宋体" w:cs="宋体"/>
                <w:b/>
                <w:bCs/>
                <w:kern w:val="0"/>
                <w:sz w:val="20"/>
                <w:szCs w:val="20"/>
                <w:lang w:bidi="ar"/>
              </w:rPr>
              <w:t>九、巩固拓展主题教育成果，提升政务服务和数据管理自身建设水平</w:t>
            </w:r>
          </w:p>
        </w:tc>
        <w:tc>
          <w:tcPr>
            <w:tcW w:w="5295" w:type="dxa"/>
            <w:vAlign w:val="center"/>
          </w:tcPr>
          <w:p>
            <w:pPr>
              <w:widowControl/>
              <w:adjustRightInd w:val="0"/>
              <w:snapToGrid w:val="0"/>
              <w:jc w:val="left"/>
              <w:textAlignment w:val="center"/>
              <w:rPr>
                <w:rFonts w:hint="eastAsia" w:ascii="宋体" w:hAnsi="宋体" w:cs="宋体"/>
                <w:kern w:val="0"/>
                <w:sz w:val="20"/>
                <w:szCs w:val="20"/>
                <w:lang w:bidi="ar"/>
              </w:rPr>
            </w:pPr>
            <w:r>
              <w:rPr>
                <w:rFonts w:hint="eastAsia" w:ascii="宋体" w:hAnsi="宋体" w:cs="宋体"/>
                <w:kern w:val="0"/>
                <w:sz w:val="20"/>
                <w:szCs w:val="20"/>
                <w:lang w:bidi="ar"/>
              </w:rPr>
              <w:t>36.加强思想政治引领。</w:t>
            </w:r>
          </w:p>
          <w:p>
            <w:pPr>
              <w:widowControl/>
              <w:adjustRightInd w:val="0"/>
              <w:snapToGrid w:val="0"/>
              <w:jc w:val="left"/>
              <w:textAlignment w:val="center"/>
              <w:rPr>
                <w:rFonts w:hint="eastAsia" w:ascii="宋体" w:hAnsi="宋体" w:cs="宋体"/>
                <w:kern w:val="0"/>
                <w:sz w:val="20"/>
                <w:szCs w:val="20"/>
                <w:lang w:bidi="ar"/>
              </w:rPr>
            </w:pPr>
            <w:r>
              <w:rPr>
                <w:rFonts w:hint="eastAsia" w:ascii="宋体" w:hAnsi="宋体" w:cs="宋体"/>
                <w:kern w:val="0"/>
                <w:sz w:val="20"/>
                <w:szCs w:val="20"/>
                <w:lang w:bidi="ar"/>
              </w:rPr>
              <w:t>37.落实机构改革任务。</w:t>
            </w:r>
          </w:p>
          <w:p>
            <w:pPr>
              <w:widowControl/>
              <w:adjustRightInd w:val="0"/>
              <w:snapToGrid w:val="0"/>
              <w:jc w:val="left"/>
              <w:textAlignment w:val="center"/>
              <w:rPr>
                <w:rFonts w:hint="eastAsia" w:ascii="宋体" w:hAnsi="宋体" w:cs="宋体"/>
                <w:kern w:val="0"/>
                <w:sz w:val="20"/>
                <w:szCs w:val="20"/>
                <w:lang w:bidi="ar"/>
              </w:rPr>
            </w:pPr>
            <w:r>
              <w:rPr>
                <w:rFonts w:hint="eastAsia" w:ascii="宋体" w:hAnsi="宋体" w:cs="宋体"/>
                <w:kern w:val="0"/>
                <w:sz w:val="20"/>
                <w:szCs w:val="20"/>
                <w:lang w:bidi="ar"/>
              </w:rPr>
              <w:t>38.提高队伍专业化水平。</w:t>
            </w:r>
          </w:p>
          <w:p>
            <w:pPr>
              <w:widowControl/>
              <w:adjustRightInd w:val="0"/>
              <w:snapToGrid w:val="0"/>
              <w:jc w:val="left"/>
              <w:textAlignment w:val="center"/>
              <w:rPr>
                <w:rFonts w:hint="eastAsia" w:ascii="宋体" w:hAnsi="宋体" w:cs="宋体"/>
                <w:sz w:val="20"/>
                <w:szCs w:val="20"/>
              </w:rPr>
            </w:pPr>
            <w:r>
              <w:rPr>
                <w:rFonts w:hint="eastAsia" w:ascii="宋体" w:hAnsi="宋体" w:cs="宋体"/>
                <w:kern w:val="0"/>
                <w:sz w:val="20"/>
                <w:szCs w:val="20"/>
                <w:lang w:bidi="ar"/>
              </w:rPr>
              <w:t>39.强化法治保障和制度规范。</w:t>
            </w:r>
            <w:r>
              <w:rPr>
                <w:rStyle w:val="39"/>
                <w:rFonts w:hint="default"/>
                <w:color w:val="auto"/>
                <w:lang w:bidi="ar"/>
              </w:rPr>
              <w:br w:type="textWrapping"/>
            </w:r>
            <w:r>
              <w:rPr>
                <w:rFonts w:hint="eastAsia" w:ascii="宋体" w:hAnsi="宋体" w:cs="宋体"/>
                <w:kern w:val="0"/>
                <w:sz w:val="20"/>
                <w:szCs w:val="20"/>
                <w:lang w:bidi="ar"/>
              </w:rPr>
              <w:t>40.加强作风建设。</w:t>
            </w:r>
          </w:p>
        </w:tc>
      </w:tr>
    </w:tbl>
    <w:p>
      <w:pPr>
        <w:adjustRightInd w:val="0"/>
        <w:snapToGrid w:val="0"/>
        <w:spacing w:line="560" w:lineRule="exact"/>
        <w:rPr>
          <w:rFonts w:ascii="仿宋_GB2312" w:eastAsia="仿宋_GB2312"/>
          <w:sz w:val="32"/>
          <w:szCs w:val="32"/>
        </w:rPr>
      </w:pP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adjustRightInd w:val="0"/>
        <w:snapToGrid w:val="0"/>
        <w:spacing w:line="560" w:lineRule="exact"/>
        <w:ind w:firstLine="640" w:firstLineChars="200"/>
        <w:outlineLvl w:val="2"/>
        <w:rPr>
          <w:rFonts w:ascii="仿宋_GB2312" w:eastAsia="仿宋_GB2312"/>
          <w:sz w:val="32"/>
          <w:szCs w:val="32"/>
        </w:rPr>
      </w:pPr>
      <w:r>
        <w:rPr>
          <w:rFonts w:hint="eastAsia" w:ascii="仿宋_GB2312" w:eastAsia="仿宋_GB2312"/>
          <w:sz w:val="32"/>
          <w:szCs w:val="32"/>
        </w:rPr>
        <w:t>1.绩效目标设立依据</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根据《北京市预算绩效目标管理办法》（京财绩效〔</w:t>
      </w:r>
      <w:r>
        <w:rPr>
          <w:rFonts w:ascii="仿宋_GB2312" w:eastAsia="仿宋_GB2312"/>
          <w:sz w:val="32"/>
          <w:szCs w:val="32"/>
        </w:rPr>
        <w:t>2020</w:t>
      </w:r>
      <w:r>
        <w:rPr>
          <w:rFonts w:hint="eastAsia" w:ascii="仿宋_GB2312" w:eastAsia="仿宋_GB2312"/>
          <w:sz w:val="32"/>
          <w:szCs w:val="32"/>
        </w:rPr>
        <w:t>〕</w:t>
      </w:r>
      <w:r>
        <w:rPr>
          <w:rFonts w:ascii="仿宋_GB2312" w:eastAsia="仿宋_GB2312"/>
          <w:sz w:val="32"/>
          <w:szCs w:val="32"/>
        </w:rPr>
        <w:t>2137</w:t>
      </w:r>
      <w:r>
        <w:rPr>
          <w:rFonts w:hint="eastAsia" w:ascii="仿宋_GB2312" w:eastAsia="仿宋_GB2312"/>
          <w:sz w:val="32"/>
          <w:szCs w:val="32"/>
        </w:rPr>
        <w:t>号）的规定，部门整体支出绩效目标是指市级预算部门按照确定的职责，利用全部部门预算资金在一定期限内预期达到的总体产出和效果。绩效目标设定的依据包括：国家、北京市相关法律法规和政策要求；国民经济和社会发展规划中本领域承担的重点任务；“三定方案”确定的部门职能职责及核心任务活动；年度政府工作报告部署的本部门核心工作；本部门中长期发展规划设定的战略目标及年度工作要点；跨部门跨区域协同任务；市级财政部门中期和年度预算管理要求；相关历史数据、行业标准、计划标准等；拟申报项目前置审批结果；符合市级财政部门要求的其他依据。</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2023年10月，市政务和数据局（原“市政务服务局”）以市委市政府重大决策部署及《北京市机构改革方案》为指引、以部门履职职责与任务目标为核心、以2024年度计划开展工作及实际需求为出发点、以财政资金使用效益为抓手、以重点项目保障为落脚点，按照北京市财政局（以下简称“市财政局”）2024年度预算编报要求，在对往年部门整体绩效目标及各项工作任务目标完成情况分析完善的基础上，设定了2</w:t>
      </w:r>
      <w:r>
        <w:rPr>
          <w:rFonts w:ascii="仿宋_GB2312" w:eastAsia="仿宋_GB2312"/>
          <w:sz w:val="32"/>
          <w:szCs w:val="32"/>
        </w:rPr>
        <w:t>02</w:t>
      </w:r>
      <w:r>
        <w:rPr>
          <w:rFonts w:hint="eastAsia" w:ascii="仿宋_GB2312" w:eastAsia="仿宋_GB2312"/>
          <w:sz w:val="32"/>
          <w:szCs w:val="32"/>
        </w:rPr>
        <w:t>4年度部门整体绩效目标与指标，具体考虑要点如下：</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是明确部门工作职责。根据部门工作职能，明确各项具体工作职责。二是确定任务及总目标。结合部门中长期及年度工作计划，明确年度主要工作任务，预计年度内履职所要达到的预期产出及效果，确定部门总体目标。三是确定分项工作活动。结合各内设机构及所属事业单位的具体工作职责及年度任务，统筹、整合形成分项工作活动。四是制定绩效指标。根据分项工作活动，分解、细化形成各项工作任务的预期产出与效果，并结合年度预算安排情况，梳理与其相对应的重点项目，制定绩效指标。五是确定绩效指标数值。收集相关基准数据，确定绩效标准，结合年度预算安排情况，确定绩效指标具体数值。</w:t>
      </w:r>
    </w:p>
    <w:p>
      <w:pPr>
        <w:adjustRightInd w:val="0"/>
        <w:snapToGrid w:val="0"/>
        <w:spacing w:line="560" w:lineRule="exact"/>
        <w:ind w:firstLine="640" w:firstLineChars="200"/>
        <w:outlineLvl w:val="2"/>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.目标与职责任务匹配情况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围绕部门整体年度绩效目标及职能职责列表，市政务和数据局分解确定了13类活动，并制定了绩效指标、明确了绩效指标值，具体见表2所示。</w:t>
      </w:r>
    </w:p>
    <w:p>
      <w:pPr>
        <w:adjustRightInd w:val="0"/>
        <w:snapToGrid w:val="0"/>
        <w:spacing w:line="560" w:lineRule="exact"/>
        <w:ind w:firstLine="560" w:firstLineChars="200"/>
        <w:jc w:val="center"/>
        <w:rPr>
          <w:rFonts w:hint="eastAsia" w:ascii="黑体" w:hAnsi="黑体" w:eastAsia="黑体"/>
          <w:sz w:val="28"/>
          <w:szCs w:val="28"/>
        </w:rPr>
      </w:pPr>
      <w:r>
        <w:rPr>
          <w:rFonts w:hint="eastAsia" w:ascii="黑体" w:hAnsi="黑体" w:eastAsia="黑体"/>
          <w:sz w:val="28"/>
          <w:szCs w:val="28"/>
        </w:rPr>
        <w:t>表2：市政务和数据局</w:t>
      </w:r>
      <w:r>
        <w:rPr>
          <w:rFonts w:ascii="黑体" w:hAnsi="黑体" w:eastAsia="黑体"/>
          <w:sz w:val="28"/>
          <w:szCs w:val="28"/>
        </w:rPr>
        <w:t>202</w:t>
      </w:r>
      <w:r>
        <w:rPr>
          <w:rFonts w:hint="eastAsia" w:ascii="黑体" w:hAnsi="黑体" w:eastAsia="黑体"/>
          <w:sz w:val="28"/>
          <w:szCs w:val="28"/>
        </w:rPr>
        <w:t>4</w:t>
      </w:r>
      <w:r>
        <w:rPr>
          <w:rFonts w:ascii="黑体" w:hAnsi="黑体" w:eastAsia="黑体"/>
          <w:sz w:val="28"/>
          <w:szCs w:val="28"/>
        </w:rPr>
        <w:t>年度</w:t>
      </w:r>
      <w:r>
        <w:rPr>
          <w:rFonts w:hint="eastAsia" w:ascii="黑体" w:hAnsi="黑体" w:eastAsia="黑体"/>
          <w:sz w:val="28"/>
          <w:szCs w:val="28"/>
        </w:rPr>
        <w:t>部门绩效指标</w:t>
      </w:r>
    </w:p>
    <w:tbl>
      <w:tblPr>
        <w:tblStyle w:val="15"/>
        <w:tblW w:w="4997" w:type="pct"/>
        <w:jc w:val="center"/>
        <w:tblLayout w:type="autofit"/>
        <w:tblCellMar>
          <w:top w:w="0" w:type="dxa"/>
          <w:left w:w="28" w:type="dxa"/>
          <w:bottom w:w="0" w:type="dxa"/>
          <w:right w:w="28" w:type="dxa"/>
        </w:tblCellMar>
      </w:tblPr>
      <w:tblGrid>
        <w:gridCol w:w="581"/>
        <w:gridCol w:w="917"/>
        <w:gridCol w:w="7397"/>
      </w:tblGrid>
      <w:tr>
        <w:tblPrEx>
          <w:tblCellMar>
            <w:top w:w="0" w:type="dxa"/>
            <w:left w:w="28" w:type="dxa"/>
            <w:bottom w:w="0" w:type="dxa"/>
            <w:right w:w="28" w:type="dxa"/>
          </w:tblCellMar>
        </w:tblPrEx>
        <w:trPr>
          <w:trHeight w:val="280" w:hRule="atLeast"/>
          <w:tblHeader/>
          <w:jc w:val="center"/>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sz w:val="20"/>
                <w:szCs w:val="20"/>
              </w:rPr>
            </w:pPr>
            <w:r>
              <w:rPr>
                <w:rFonts w:hint="eastAsia" w:ascii="宋体" w:hAnsi="宋体" w:cs="宋体"/>
                <w:b/>
                <w:bCs/>
                <w:kern w:val="0"/>
                <w:sz w:val="20"/>
                <w:szCs w:val="20"/>
                <w:lang w:bidi="ar"/>
              </w:rPr>
              <w:t>序号</w:t>
            </w:r>
          </w:p>
        </w:tc>
        <w:tc>
          <w:tcPr>
            <w:tcW w:w="5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sz w:val="20"/>
                <w:szCs w:val="20"/>
              </w:rPr>
            </w:pPr>
            <w:r>
              <w:rPr>
                <w:rFonts w:hint="eastAsia" w:ascii="宋体" w:hAnsi="宋体" w:cs="宋体"/>
                <w:b/>
                <w:bCs/>
                <w:sz w:val="20"/>
                <w:szCs w:val="20"/>
              </w:rPr>
              <w:t>活动</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2"/>
              <w:jc w:val="center"/>
              <w:textAlignment w:val="center"/>
              <w:rPr>
                <w:rFonts w:hint="eastAsia" w:ascii="宋体" w:hAnsi="宋体" w:cs="宋体"/>
                <w:b/>
                <w:bCs/>
                <w:sz w:val="20"/>
                <w:szCs w:val="20"/>
              </w:rPr>
            </w:pPr>
            <w:r>
              <w:rPr>
                <w:rFonts w:hint="eastAsia" w:ascii="宋体" w:hAnsi="宋体" w:cs="宋体"/>
                <w:b/>
                <w:bCs/>
                <w:sz w:val="20"/>
                <w:szCs w:val="20"/>
              </w:rPr>
              <w:t>绩效指标</w:t>
            </w:r>
          </w:p>
        </w:tc>
      </w:tr>
      <w:tr>
        <w:tblPrEx>
          <w:tblCellMar>
            <w:top w:w="0" w:type="dxa"/>
            <w:left w:w="28" w:type="dxa"/>
            <w:bottom w:w="0" w:type="dxa"/>
            <w:right w:w="28" w:type="dxa"/>
          </w:tblCellMar>
        </w:tblPrEx>
        <w:trPr>
          <w:trHeight w:val="2262"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w:t>
            </w:r>
          </w:p>
        </w:tc>
        <w:tc>
          <w:tcPr>
            <w:tcW w:w="5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政府网站建设管理工作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国际版门户网站运营内容种类≥6类；完成北京市政府网站集约化平台服务工作1项；政府网站和政务新媒体各考核评估单位数量≥70个；门户网站外语翻译质量忠于原文，准确率高，语言流畅，表达地道；界面清晰美观信息全面规范；门户网站运营服务时间=12个月；打造一站式网上国际化服务总平台、总窗口，提供国际化服务；利用国际化视野对标筛选全球领先实践并总结其经验，形成对北京的启示；持续发现各单位政府网站和政务新媒体问题，促进优化整改。</w:t>
            </w:r>
          </w:p>
        </w:tc>
      </w:tr>
      <w:tr>
        <w:tblPrEx>
          <w:tblCellMar>
            <w:top w:w="0" w:type="dxa"/>
            <w:left w:w="28" w:type="dxa"/>
            <w:bottom w:w="0" w:type="dxa"/>
            <w:right w:w="28" w:type="dxa"/>
          </w:tblCellMar>
        </w:tblPrEx>
        <w:trPr>
          <w:trHeight w:val="1701"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公共资源交易服务管理工作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北京市中介服务网上交易平台运维内容（日常技术运维、平台功能优化、综合咨询等）3类；北京市中介服务网上交易平台稳定运行率北京市中介服务网上交易平台稳定运行率=100%；按照既定时间要求及时完成月度数据汇总、半年总结、全年总结；通过平台全年正常运转，保障北京市中介服务网上交易正常开展≥2000次。</w:t>
            </w:r>
          </w:p>
        </w:tc>
      </w:tr>
      <w:tr>
        <w:tblPrEx>
          <w:tblCellMar>
            <w:top w:w="0" w:type="dxa"/>
            <w:left w:w="28" w:type="dxa"/>
            <w:bottom w:w="0" w:type="dxa"/>
            <w:right w:w="28" w:type="dxa"/>
          </w:tblCellMar>
        </w:tblPrEx>
        <w:trPr>
          <w:trHeight w:val="2585"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市政务服务中心建设工作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协助开展“先进单位”“最佳首席代表”“服务之星”及“先进个人”评比次数=5次；组织驻厅人员开展学习教育活动次数≥24期；监督检查和效能促进平台大厅视频监控点位=248个；对大厅运行状况的全方位实时监测；完成全天不间断的日常监督检查、数据统计分析无误；业务平台全年活动保障时长=12个月；进一步完善政务服务监督管理体制,提高政务服务监督管理能力；促进政府服务大厅健康、科学、高效、持续运转；实现监督检查工作规范化和制度化，做到及时发现、及时提醒、及时上报整改，促进服务效能的全面提升。</w:t>
            </w:r>
          </w:p>
        </w:tc>
      </w:tr>
      <w:tr>
        <w:tblPrEx>
          <w:tblCellMar>
            <w:top w:w="0" w:type="dxa"/>
            <w:left w:w="28" w:type="dxa"/>
            <w:bottom w:w="0" w:type="dxa"/>
            <w:right w:w="28" w:type="dxa"/>
          </w:tblCellMar>
        </w:tblPrEx>
        <w:trPr>
          <w:trHeight w:val="2018"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4</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政务公开工作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市政府门户网站政策服务功能开发、升级改造数量≥5个；出具北京市政府信息和政务公开工作第三方评估报告及各单位问题清单=1份；市政府门户网站政策服务功能稳定运行率≥98%；市政府门户网站政策服务功能试运行时长=3个月；实现政策全流程网上管理，加强数据资源共享应用，提高政策兑现效率；以评促改、以评促建，提高本市政务公开工作整体水平，使本市政务公开工作符合国办要求，推动政务公开工作提质增效，打造公开透明的“阳光政府”。</w:t>
            </w:r>
          </w:p>
        </w:tc>
      </w:tr>
      <w:tr>
        <w:tblPrEx>
          <w:tblCellMar>
            <w:top w:w="0" w:type="dxa"/>
            <w:left w:w="28" w:type="dxa"/>
            <w:bottom w:w="0" w:type="dxa"/>
            <w:right w:w="28" w:type="dxa"/>
          </w:tblCellMar>
        </w:tblPrEx>
        <w:trPr>
          <w:trHeight w:val="2399"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新闻宣传工作（市政府公报编制工作）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发行《北京市人民政府公报》册数=10.896万册；舆情监测分析报告数量=38期；制作“政民对话”节目时长≥460分钟；制作政务服务微视频、微短剧、宣传片、人物专题片、电视专题片等电子媒体产品制作数量=133个；舆情监测覆盖范围广，政策、重点工作解读易懂、实用，宣传内容积极正面、美术设计简洁美观；基于相关重点工作及政策发布时间政策解读配合率基于相关重点工作及政策发布时间政策解读配合率基于相关重点工作及政策发布时间政策解读配合率=100%；提升政策覆盖率和知晓度，增强企业群众获得感和参与感。</w:t>
            </w:r>
          </w:p>
        </w:tc>
      </w:tr>
      <w:tr>
        <w:tblPrEx>
          <w:tblCellMar>
            <w:top w:w="0" w:type="dxa"/>
            <w:left w:w="28" w:type="dxa"/>
            <w:bottom w:w="0" w:type="dxa"/>
            <w:right w:w="28" w:type="dxa"/>
          </w:tblCellMar>
        </w:tblPrEx>
        <w:trPr>
          <w:trHeight w:val="1612"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“接诉即办”工作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每月一题”治理公众满意度调查次数=2次；完成12345热线服务、纪实性栏目制作、数据智能分析及第三方核查、第三方大数据挖掘及评估分析、接诉即办蓝皮书等工作≥5项。“每月一题”治理评估及评估报告完成时间≤12个月；反映接诉即办相关研究、改革、治理成果及典型案例，通过总结北京城市治理经验，形成可复制、可推广的超大城市治理的做法及先进推广经验，进一步提升接诉即办工作影响力。</w:t>
            </w:r>
          </w:p>
        </w:tc>
      </w:tr>
      <w:tr>
        <w:tblPrEx>
          <w:tblCellMar>
            <w:top w:w="0" w:type="dxa"/>
            <w:left w:w="28" w:type="dxa"/>
            <w:bottom w:w="0" w:type="dxa"/>
            <w:right w:w="28" w:type="dxa"/>
          </w:tblCellMar>
        </w:tblPrEx>
        <w:trPr>
          <w:trHeight w:val="2409"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7</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全市四级政务服务体系建设工作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开展4轮政务服务事项标准化核查、全市政务服务“好差评”指数评价、“北京榜样·政务服务之星”评选、推荐与宣讲工作，对90名政务服务骨干进行业务培训=4项；政务服务核查事项要素完备，成果报告验收评审通过，项目开展符合北京市政务服务行动计划的工作部署及国务院有关规定；全市四级政务服务体系年度建设任务完成时间≤12个月；打牢政务服务事项标准化基础，明确各类公众对政务服务的差异化需求，培育、选树一批政务服务工作先进典型，提升参训政务服务骨干政策知晓率和前沿趋势把握力。</w:t>
            </w:r>
          </w:p>
        </w:tc>
      </w:tr>
      <w:tr>
        <w:tblPrEx>
          <w:tblCellMar>
            <w:top w:w="0" w:type="dxa"/>
            <w:left w:w="28" w:type="dxa"/>
            <w:bottom w:w="0" w:type="dxa"/>
            <w:right w:w="28" w:type="dxa"/>
          </w:tblCellMar>
        </w:tblPrEx>
        <w:trPr>
          <w:trHeight w:val="1177"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政务服务中心信息运维工作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完成政务云服务、政务服务信息系统运维、自助终端租赁等事项≥3项；为我市使用政务服务事项数据的系统提供支撑，为国家政务服务平台提供数据支撑，促进政务服务精准供给能力及一体化咨询服务能力提升，政务服务便民自助办能力提升。</w:t>
            </w:r>
          </w:p>
        </w:tc>
      </w:tr>
      <w:tr>
        <w:tblPrEx>
          <w:tblCellMar>
            <w:top w:w="0" w:type="dxa"/>
            <w:left w:w="28" w:type="dxa"/>
            <w:bottom w:w="0" w:type="dxa"/>
            <w:right w:w="28" w:type="dxa"/>
          </w:tblCellMar>
        </w:tblPrEx>
        <w:trPr>
          <w:trHeight w:val="2108"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sz w:val="20"/>
                <w:szCs w:val="20"/>
              </w:rPr>
              <w:t>9</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行政审批改革协调工作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完成“放管服”改革研究和政策兑现核查、“千人千题”竞赛考试=2项；为政务服务改革提供决策依据，推动政府职能转变，提供深化改革提供理论支撑；促进审批人员和窗口工作人员政策掌握及业务办理水平提升；“放管服”改革研究和政策兑现核查10月前召开专家座谈会、11月前形成报告；12月前完成“千人千题”试卷印刷并组织竞赛；为政务服务改革提供决策依据，推动政府职能转变，提供深化改革提供理论支撑；促进审批人员和窗口工作人员政策掌握及业务办理水平提升。</w:t>
            </w:r>
          </w:p>
        </w:tc>
      </w:tr>
      <w:tr>
        <w:tblPrEx>
          <w:tblCellMar>
            <w:top w:w="0" w:type="dxa"/>
            <w:left w:w="28" w:type="dxa"/>
            <w:bottom w:w="0" w:type="dxa"/>
            <w:right w:w="28" w:type="dxa"/>
          </w:tblCellMar>
        </w:tblPrEx>
        <w:trPr>
          <w:trHeight w:val="20"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行政审批制度改革工作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评估行政许可主项、子项、办事项实施规范数量≥668项；项目开展符合《国务院办公厅关于全面实行行政许可事项清单管理的通知》（国办发〔2022〕2号）文件规定；签订合同、编制确定项目评估指标时间≤9个月；明晰行政许可权力边界、规范行政许可行为，推动北京市全域依法许可、合规履权。</w:t>
            </w:r>
          </w:p>
        </w:tc>
      </w:tr>
      <w:tr>
        <w:tblPrEx>
          <w:tblCellMar>
            <w:top w:w="0" w:type="dxa"/>
            <w:left w:w="28" w:type="dxa"/>
            <w:bottom w:w="0" w:type="dxa"/>
            <w:right w:w="28" w:type="dxa"/>
          </w:tblCellMar>
        </w:tblPrEx>
        <w:trPr>
          <w:trHeight w:val="20"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11</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政务服务信息化系统建设及运维工作</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cs="宋体"/>
                <w:sz w:val="20"/>
                <w:szCs w:val="20"/>
              </w:rPr>
            </w:pPr>
            <w:r>
              <w:rPr>
                <w:rFonts w:hint="eastAsia" w:ascii="宋体" w:hAnsi="宋体" w:cs="宋体"/>
                <w:sz w:val="20"/>
                <w:szCs w:val="20"/>
              </w:rPr>
              <w:t>数据安全监管系统数量≥5个；统一申办受理平台入驻交付数量≥1515个；数字服务平台诉求工单率≥98%；完成数字服务平台系统建设及升级改造工作测评及监理等事项≥2项；数字服务平台建设及升级改造测评及监理工作符合业务标准；统一申办受理平台入驻验收通过率≥98%；统一申办受理平台入驻交付时间≤12个月；打造一站式网上统一申办受理平台，为北京市数字政府建设提供强有力支撑，提升政务服务整体水平及社会影响力；充分利用新一代信息技术，加强政务服务数据资源应用；鉴别并清除与企业群众相关的政务服务数据潜在风险点。</w:t>
            </w:r>
          </w:p>
        </w:tc>
      </w:tr>
      <w:tr>
        <w:tblPrEx>
          <w:tblCellMar>
            <w:top w:w="0" w:type="dxa"/>
            <w:left w:w="28" w:type="dxa"/>
            <w:bottom w:w="0" w:type="dxa"/>
            <w:right w:w="28" w:type="dxa"/>
          </w:tblCellMar>
        </w:tblPrEx>
        <w:trPr>
          <w:trHeight w:val="1306"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12</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智慧城市建设规划设计与信息化项目技术审查</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eastAsia="宋体" w:cs="宋体"/>
                <w:sz w:val="20"/>
                <w:szCs w:val="20"/>
                <w:lang w:eastAsia="zh-CN"/>
              </w:rPr>
            </w:pPr>
            <w:r>
              <w:rPr>
                <w:rFonts w:hint="eastAsia" w:ascii="宋体" w:hAnsi="宋体" w:cs="宋体"/>
                <w:sz w:val="20"/>
                <w:szCs w:val="20"/>
              </w:rPr>
              <w:t>支撑研究形成面向基层治理的规范1套；形成《智慧城市建设总体设计技术服务报告》1套；协助跟踪进展的重点项目数量≥130个；形成《智慧城市建设总体设计咨询服务报告》1份；支撑领域（部门）智慧城市规划和顶层设计评估报告数量≥60份；6月底前智慧城市重点工作任务印发及时率100%；支撑全市各相关单位开展智慧城市建设，促进基层治理精细化、智慧化水平提升；提高我市智慧城市统筹规划设计能力、落地实施保障能力、关键环节创新服务支撑能力</w:t>
            </w:r>
            <w:r>
              <w:rPr>
                <w:rFonts w:hint="eastAsia" w:ascii="宋体" w:hAnsi="宋体" w:cs="宋体"/>
                <w:sz w:val="20"/>
                <w:szCs w:val="20"/>
                <w:lang w:eastAsia="zh-CN"/>
              </w:rPr>
              <w:t>。</w:t>
            </w:r>
          </w:p>
        </w:tc>
      </w:tr>
      <w:tr>
        <w:tblPrEx>
          <w:tblCellMar>
            <w:top w:w="0" w:type="dxa"/>
            <w:left w:w="28" w:type="dxa"/>
            <w:bottom w:w="0" w:type="dxa"/>
            <w:right w:w="28" w:type="dxa"/>
          </w:tblCellMar>
        </w:tblPrEx>
        <w:trPr>
          <w:trHeight w:val="1306" w:hRule="atLeast"/>
          <w:jc w:val="center"/>
        </w:trPr>
        <w:tc>
          <w:tcPr>
            <w:tcW w:w="32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13</w:t>
            </w:r>
          </w:p>
        </w:tc>
        <w:tc>
          <w:tcPr>
            <w:tcW w:w="5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数据管理</w:t>
            </w:r>
          </w:p>
        </w:tc>
        <w:tc>
          <w:tcPr>
            <w:tcW w:w="4156" w:type="pct"/>
            <w:tcBorders>
              <w:top w:val="single" w:color="000000" w:sz="4" w:space="0"/>
              <w:left w:val="single" w:color="000000" w:sz="4" w:space="0"/>
              <w:bottom w:val="single" w:color="000000" w:sz="4" w:space="0"/>
              <w:right w:val="single" w:color="000000" w:sz="4" w:space="0"/>
            </w:tcBorders>
            <w:vAlign w:val="center"/>
          </w:tcPr>
          <w:p>
            <w:pPr>
              <w:widowControl/>
              <w:ind w:firstLine="400"/>
              <w:jc w:val="left"/>
              <w:textAlignment w:val="center"/>
              <w:rPr>
                <w:rFonts w:hint="eastAsia" w:ascii="宋体" w:hAnsi="宋体" w:eastAsia="宋体" w:cs="宋体"/>
                <w:sz w:val="20"/>
                <w:szCs w:val="20"/>
                <w:lang w:eastAsia="zh-CN"/>
              </w:rPr>
            </w:pPr>
            <w:r>
              <w:rPr>
                <w:rFonts w:hint="eastAsia" w:ascii="宋体" w:hAnsi="宋体" w:cs="宋体"/>
                <w:sz w:val="20"/>
                <w:szCs w:val="20"/>
              </w:rPr>
              <w:t>保障“数据要素×”大赛全国总决赛相关活动场次≥18场；形成数据基础制度清单建议1份；建立全市算力资源底账1份；场景需求征集对接数量≥100项；支持数据共享服务的应用场景数≥35个；区块链先进算力平台主机托管106个；营造各界开发利用数据的良好氛围，促进我市数据要素市场生态聚集；为北京市数据基础制度先行先试提供实践参考，为完善数据监管沙箱机制提供理论基础；提高各部门对接和使用社会数据的效率、促进政企数据融合</w:t>
            </w:r>
            <w:r>
              <w:rPr>
                <w:rFonts w:hint="eastAsia" w:ascii="宋体" w:hAnsi="宋体" w:cs="宋体"/>
                <w:sz w:val="20"/>
                <w:szCs w:val="20"/>
                <w:lang w:eastAsia="zh-CN"/>
              </w:rPr>
              <w:t>。</w:t>
            </w:r>
          </w:p>
        </w:tc>
      </w:tr>
    </w:tbl>
    <w:p>
      <w:pPr>
        <w:adjustRightInd w:val="0"/>
        <w:snapToGrid w:val="0"/>
        <w:rPr>
          <w:sz w:val="20"/>
          <w:szCs w:val="20"/>
        </w:rPr>
      </w:pPr>
    </w:p>
    <w:p>
      <w:pPr>
        <w:adjustRightInd w:val="0"/>
        <w:snapToGrid w:val="0"/>
        <w:spacing w:line="560" w:lineRule="exact"/>
        <w:ind w:firstLine="640" w:firstLineChars="200"/>
        <w:outlineLvl w:val="2"/>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.目标合理性分析</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市政务和数据局2</w:t>
      </w:r>
      <w:r>
        <w:rPr>
          <w:rFonts w:ascii="仿宋_GB2312" w:eastAsia="仿宋_GB2312"/>
          <w:sz w:val="32"/>
          <w:szCs w:val="32"/>
        </w:rPr>
        <w:t>02</w:t>
      </w:r>
      <w:r>
        <w:rPr>
          <w:rFonts w:hint="eastAsia" w:ascii="仿宋_GB2312" w:eastAsia="仿宋_GB2312"/>
          <w:sz w:val="32"/>
          <w:szCs w:val="32"/>
        </w:rPr>
        <w:t>4年度设置的部门整体绩效目标与部门各内设机构及所属事业单位的职责任务相匹配，绩效目标及指标设置合理。具体表现为：</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职能职责目标明确，部门年度绩效目标中提到的接诉即办改革、政务服务环境优化、数字政务建设、智慧城市建设、数据管理、政务公开、政务服务协同发展及国际化服务等均为市政务和数据局的主要职能职责，职能职责核心目标涵盖完整全面。“活动”是对绩效目标的分解和细化，填报的内容均按照部门职能、年度重点任务和年度重点项目概括整合、分条填写。目标可量化体现充分，“绩效指标”均包括年度产出目标以及相应产出所带来的效果目标，能够对分解细化绩效指标进行具体描述，同时也与重点项目相对应。</w:t>
      </w:r>
    </w:p>
    <w:p>
      <w:pPr>
        <w:adjustRightInd w:val="0"/>
        <w:snapToGrid w:val="0"/>
        <w:spacing w:line="560" w:lineRule="exact"/>
        <w:ind w:firstLine="640" w:firstLineChars="200"/>
        <w:outlineLvl w:val="0"/>
        <w:rPr>
          <w:rFonts w:hint="eastAsia" w:ascii="黑体" w:hAnsi="黑体" w:eastAsia="黑体" w:cs="宋体"/>
          <w:kern w:val="0"/>
          <w:sz w:val="32"/>
          <w:szCs w:val="32"/>
        </w:rPr>
      </w:pP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2024年全年预算数</w:t>
      </w:r>
      <w:r>
        <w:rPr>
          <w:rFonts w:ascii="仿宋_GB2312" w:eastAsia="仿宋_GB2312"/>
          <w:sz w:val="32"/>
          <w:szCs w:val="32"/>
        </w:rPr>
        <w:t>106,349.</w:t>
      </w:r>
      <w:r>
        <w:rPr>
          <w:rFonts w:hint="eastAsia" w:ascii="仿宋_GB2312" w:eastAsia="仿宋_GB2312"/>
          <w:sz w:val="32"/>
          <w:szCs w:val="32"/>
        </w:rPr>
        <w:t>8</w:t>
      </w:r>
      <w:r>
        <w:rPr>
          <w:rFonts w:ascii="仿宋_GB2312" w:eastAsia="仿宋_GB2312"/>
          <w:sz w:val="32"/>
          <w:szCs w:val="32"/>
        </w:rPr>
        <w:t>9</w:t>
      </w:r>
      <w:r>
        <w:rPr>
          <w:rFonts w:hint="eastAsia" w:ascii="仿宋_GB2312" w:eastAsia="仿宋_GB2312"/>
          <w:sz w:val="32"/>
          <w:szCs w:val="32"/>
        </w:rPr>
        <w:t>万元，其中，基本支出预算数</w:t>
      </w:r>
      <w:r>
        <w:rPr>
          <w:rFonts w:ascii="仿宋_GB2312" w:eastAsia="仿宋_GB2312"/>
          <w:sz w:val="32"/>
          <w:szCs w:val="32"/>
        </w:rPr>
        <w:t>36,038.10</w:t>
      </w:r>
      <w:r>
        <w:rPr>
          <w:rFonts w:hint="eastAsia" w:ascii="仿宋_GB2312" w:eastAsia="仿宋_GB2312"/>
          <w:sz w:val="32"/>
          <w:szCs w:val="32"/>
        </w:rPr>
        <w:t>万元，项目支出预算数</w:t>
      </w:r>
      <w:r>
        <w:rPr>
          <w:rFonts w:ascii="仿宋_GB2312" w:eastAsia="仿宋_GB2312"/>
          <w:sz w:val="32"/>
          <w:szCs w:val="32"/>
        </w:rPr>
        <w:t>70,311.79</w:t>
      </w:r>
      <w:r>
        <w:rPr>
          <w:rFonts w:hint="eastAsia" w:ascii="仿宋_GB2312" w:eastAsia="仿宋_GB2312"/>
          <w:sz w:val="32"/>
          <w:szCs w:val="32"/>
        </w:rPr>
        <w:t>万元。全年支出</w:t>
      </w:r>
      <w:r>
        <w:rPr>
          <w:rFonts w:ascii="仿宋_GB2312" w:eastAsia="仿宋_GB2312"/>
          <w:sz w:val="32"/>
          <w:szCs w:val="32"/>
        </w:rPr>
        <w:t>95,690.29</w:t>
      </w:r>
      <w:r>
        <w:rPr>
          <w:rFonts w:hint="eastAsia" w:ascii="仿宋_GB2312" w:eastAsia="仿宋_GB2312"/>
          <w:sz w:val="32"/>
          <w:szCs w:val="32"/>
        </w:rPr>
        <w:t>万元，其中，基本支出</w:t>
      </w:r>
      <w:r>
        <w:rPr>
          <w:rFonts w:ascii="仿宋_GB2312" w:eastAsia="仿宋_GB2312"/>
          <w:sz w:val="32"/>
          <w:szCs w:val="32"/>
        </w:rPr>
        <w:t>35,092.44</w:t>
      </w:r>
      <w:r>
        <w:rPr>
          <w:rFonts w:hint="eastAsia" w:ascii="仿宋_GB2312" w:eastAsia="仿宋_GB2312"/>
          <w:sz w:val="32"/>
          <w:szCs w:val="32"/>
        </w:rPr>
        <w:t>万元，项目支出</w:t>
      </w:r>
      <w:r>
        <w:rPr>
          <w:rFonts w:ascii="仿宋_GB2312" w:eastAsia="仿宋_GB2312"/>
          <w:sz w:val="32"/>
          <w:szCs w:val="32"/>
        </w:rPr>
        <w:t>60,597.85</w:t>
      </w:r>
      <w:r>
        <w:rPr>
          <w:rFonts w:hint="eastAsia" w:ascii="仿宋_GB2312" w:eastAsia="仿宋_GB2312"/>
          <w:sz w:val="32"/>
          <w:szCs w:val="32"/>
        </w:rPr>
        <w:t>万元。预算执行率为</w:t>
      </w:r>
      <w:r>
        <w:rPr>
          <w:rFonts w:ascii="仿宋_GB2312" w:eastAsia="仿宋_GB2312"/>
          <w:sz w:val="32"/>
          <w:szCs w:val="32"/>
        </w:rPr>
        <w:t>89.98%</w:t>
      </w:r>
      <w:r>
        <w:rPr>
          <w:rFonts w:hint="eastAsia" w:ascii="仿宋_GB2312" w:eastAsia="仿宋_GB2312"/>
          <w:sz w:val="32"/>
          <w:szCs w:val="32"/>
        </w:rPr>
        <w:t>。</w:t>
      </w:r>
    </w:p>
    <w:p>
      <w:pPr>
        <w:adjustRightInd w:val="0"/>
        <w:snapToGrid w:val="0"/>
        <w:spacing w:line="560" w:lineRule="exact"/>
        <w:ind w:firstLine="640" w:firstLineChars="200"/>
        <w:outlineLvl w:val="0"/>
        <w:rPr>
          <w:rFonts w:hint="eastAsia" w:ascii="黑体" w:hAnsi="黑体" w:eastAsia="黑体" w:cs="宋体"/>
          <w:kern w:val="0"/>
          <w:sz w:val="32"/>
          <w:szCs w:val="32"/>
        </w:rPr>
      </w:pP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（一）产出完成情况分析</w:t>
      </w:r>
    </w:p>
    <w:p>
      <w:pPr>
        <w:adjustRightInd w:val="0"/>
        <w:snapToGrid w:val="0"/>
        <w:spacing w:line="560" w:lineRule="exact"/>
        <w:ind w:firstLine="640" w:firstLineChars="200"/>
        <w:rPr>
          <w:rFonts w:ascii="仿宋_GB2312" w:eastAsia="仿宋_GB2312" w:cs="仿宋_GB2312"/>
          <w:bCs/>
          <w:sz w:val="32"/>
          <w:szCs w:val="32"/>
          <w:lang w:bidi="ar"/>
        </w:rPr>
      </w:pPr>
      <w:r>
        <w:rPr>
          <w:rFonts w:hint="eastAsia" w:ascii="仿宋_GB2312" w:eastAsia="仿宋_GB2312" w:cs="仿宋_GB2312"/>
          <w:bCs/>
          <w:sz w:val="32"/>
          <w:szCs w:val="32"/>
          <w:lang w:bidi="ar"/>
        </w:rPr>
        <w:t>在习近平新时代中国特色社会主义思想的指引下，市政务和数据局积极落实党中央、国务院与市委、市政府决策部署，以新时代首都发展为统领，打造“北京服务”品牌，形成系列标志性成果。党的建设持续强化，机构改革顺利完成，搬迁副中心工作圆满收官。市政务服务中心和热线新职场全面升级，接诉即办改革深入推进，12345热线全年受理工单2419.50万件，问题解决率96.7%，满意率97.0%。政务服务改革成果丰硕，推出112个“高效办成一件事”场景，平均压减办理时间60%、材料55.9%、跑动量89.2%，月均办理54.2万件。智慧城市建设加速，“京通”“京办”“京智”功能不断完善，发布68项创新需求、19项创新成果。数据管理取得突破，获批建设国家数据要素市场化配置改革综合试验区，市大数据平台新增汇聚数据超1500亿条。政策服务和政务公开持续优化，“京策”平台实现市区两级涉及财政资金的惠企政策事项统一集中申报，汇聚现行有效政策1.36万份，受理政府信息公开申请4.9万余件。京津冀政务服务协同发展扎实推进，“一键互转”以来累计办理跨区域诉求7.1万件。城市国际化服务水平稳步提升，围绕外籍群体面临的285个堵点问题研究百余项具体措施，编制全国首个城市英文地图，为群众和企业带来了实实在在的获得感。</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1.产出数量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宋体" w:eastAsia="仿宋_GB2312" w:cs="仿宋_GB2312"/>
          <w:bCs/>
          <w:sz w:val="32"/>
          <w:szCs w:val="32"/>
          <w:lang w:bidi="ar"/>
        </w:rPr>
      </w:pPr>
      <w:r>
        <w:rPr>
          <w:rFonts w:hint="eastAsia" w:ascii="仿宋_GB2312" w:eastAsia="仿宋_GB2312" w:cs="仿宋_GB2312"/>
          <w:bCs/>
          <w:sz w:val="32"/>
          <w:szCs w:val="32"/>
          <w:lang w:bidi="ar"/>
        </w:rPr>
        <w:t>市政务和数据局</w:t>
      </w:r>
      <w:r>
        <w:rPr>
          <w:rFonts w:hint="eastAsia" w:ascii="仿宋_GB2312" w:hAnsi="宋体" w:eastAsia="仿宋_GB2312" w:cs="仿宋_GB2312"/>
          <w:bCs/>
          <w:sz w:val="32"/>
          <w:szCs w:val="32"/>
          <w:lang w:bidi="ar"/>
        </w:rPr>
        <w:t>根据北京市“十四五”规划和2035远景目标建议以及局工作规划，坚决贯彻落实市委市政府决策部署，结合机构改革后的部门职能职责及实际工作需要，</w:t>
      </w:r>
      <w:r>
        <w:rPr>
          <w:rFonts w:hint="eastAsia" w:ascii="仿宋_GB2312" w:eastAsia="仿宋_GB2312" w:cs="仿宋_GB2312"/>
          <w:sz w:val="32"/>
          <w:szCs w:val="32"/>
          <w:lang w:bidi="ar"/>
        </w:rPr>
        <w:t>认真履行好接诉即办改革、政务服务环境优化、数字政务建设、智慧城市建设、数据管理、政务公开、政务服务协同发展、国际化服务等工作及其他服务保障类工作开展，</w:t>
      </w:r>
      <w:r>
        <w:rPr>
          <w:rFonts w:hint="eastAsia" w:ascii="仿宋_GB2312" w:hAnsi="宋体" w:eastAsia="仿宋_GB2312" w:cs="仿宋_GB2312"/>
          <w:bCs/>
          <w:sz w:val="32"/>
          <w:szCs w:val="32"/>
          <w:lang w:bidi="ar"/>
        </w:rPr>
        <w:t>各项职能职责积极、有效履行，部门产出整体无偏离。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Cs/>
          <w:sz w:val="32"/>
          <w:szCs w:val="32"/>
        </w:rPr>
      </w:pPr>
      <w:r>
        <w:rPr>
          <w:rFonts w:hint="eastAsia" w:ascii="仿宋_GB2312" w:eastAsia="仿宋_GB2312"/>
          <w:bCs/>
          <w:sz w:val="32"/>
          <w:szCs w:val="32"/>
        </w:rPr>
        <w:t>根据部门年度工作安排，市政务和数据局将部门整体产出分解至各处室（含二级预算单位）的各项目中，经梳理，仍存在个别项目未按原计划完成，产出数量指标执行偏差率约为23%。</w:t>
      </w:r>
      <w:bookmarkStart w:id="1" w:name="_Toc14518"/>
      <w:bookmarkStart w:id="2" w:name="_Toc20827"/>
      <w:bookmarkStart w:id="3" w:name="_Toc31566"/>
      <w:bookmarkStart w:id="4" w:name="_Toc1201"/>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2.产出</w:t>
      </w:r>
      <w:r>
        <w:rPr>
          <w:rFonts w:ascii="仿宋_GB2312" w:eastAsia="仿宋_GB2312"/>
          <w:bCs/>
          <w:sz w:val="32"/>
          <w:szCs w:val="32"/>
        </w:rPr>
        <w:t>质量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Cs/>
          <w:sz w:val="32"/>
          <w:szCs w:val="32"/>
        </w:rPr>
      </w:pPr>
      <w:r>
        <w:rPr>
          <w:rFonts w:hint="eastAsia" w:ascii="仿宋_GB2312" w:eastAsia="仿宋_GB2312"/>
          <w:bCs/>
          <w:sz w:val="32"/>
          <w:szCs w:val="32"/>
        </w:rPr>
        <w:t>2024年度市政务和数据局各项产出基本按照预期质量要求完成，部门主要职能职责活动及对应工作任务开展质量较好。接诉即办工作方面，工作开展认真贯彻《北京市接诉即办工作条例》，做好《条例》执法检查问题整改，反映市民诉求，接诉即办法治化规范化水平得到提升；政务公开及信息公开工作方面，工作开展符合中办、国办《关于全面推进政务公开工作的意见》（中办发〔2016〕8号）及《中共北京市委办公厅北京市人民政府办公厅印发〈关于全面推进政务公开工作的实施意见〉的通知》（京办发〔2016〕24号）中的相关要求，有效保障了政务服务和营商环境相关政策及工作宣传解读权威、精准，向社会主动公开评估结果，同时自觉查找问题和不足，强化督促整改机制建设；</w:t>
      </w:r>
      <w:r>
        <w:rPr>
          <w:rFonts w:hint="eastAsia" w:ascii="仿宋_GB2312" w:eastAsia="仿宋_GB2312" w:cs="仿宋_GB2312"/>
          <w:sz w:val="32"/>
          <w:szCs w:val="32"/>
          <w:lang w:bidi="ar"/>
        </w:rPr>
        <w:t>行政审批改革协调工作方面，实现了政策兑现核查问卷调查问题设计及调查人群全面覆盖，形成的调研报告及改革理论研究报告能够为政策确定提供参考；政务服务管理工作方面，升级了大厅服务能力</w:t>
      </w:r>
      <w:r>
        <w:rPr>
          <w:rFonts w:hint="eastAsia" w:ascii="仿宋_GB2312" w:hAnsi="仿宋_GB2312" w:eastAsia="仿宋_GB2312" w:cs="仿宋_GB2312"/>
          <w:sz w:val="32"/>
          <w:szCs w:val="32"/>
        </w:rPr>
        <w:t>，推动办事指南完善、大厅布局优化，按照“联、运、评、贷、投、落”的工作链条，高标准高质量地开展各项工作；数据管理工作方面，通过保障数据准确性、完整性、一致性、数据更新频率、主数据唯一性等实现数据可信。</w:t>
      </w:r>
      <w:r>
        <w:rPr>
          <w:rFonts w:hint="eastAsia" w:ascii="仿宋_GB2312" w:eastAsia="仿宋_GB2312" w:cs="仿宋_GB2312"/>
          <w:sz w:val="32"/>
          <w:szCs w:val="32"/>
          <w:lang w:bidi="ar"/>
        </w:rPr>
        <w:t>从具体项目角度，纳入自评的项目中，经梳理，存在个别项目开展质量情况尚无法验证或未达预期，</w:t>
      </w:r>
      <w:r>
        <w:rPr>
          <w:rFonts w:hint="eastAsia" w:ascii="仿宋_GB2312" w:eastAsia="仿宋_GB2312"/>
          <w:bCs/>
          <w:sz w:val="32"/>
          <w:szCs w:val="32"/>
        </w:rPr>
        <w:t>产出质量指标执行偏差率约为11%。</w:t>
      </w:r>
    </w:p>
    <w:p>
      <w:pPr>
        <w:adjustRightInd w:val="0"/>
        <w:snapToGrid w:val="0"/>
        <w:spacing w:line="560" w:lineRule="exact"/>
        <w:ind w:firstLine="640" w:firstLineChars="200"/>
        <w:outlineLvl w:val="2"/>
        <w:rPr>
          <w:rFonts w:hint="eastAsia" w:ascii="仿宋_GB2312" w:eastAsia="仿宋_GB2312"/>
          <w:bCs/>
          <w:sz w:val="32"/>
          <w:szCs w:val="32"/>
        </w:rPr>
      </w:pPr>
      <w:r>
        <w:rPr>
          <w:rFonts w:hint="eastAsia" w:ascii="仿宋_GB2312" w:eastAsia="仿宋_GB2312"/>
          <w:bCs/>
          <w:sz w:val="32"/>
          <w:szCs w:val="32"/>
        </w:rPr>
        <w:t>3.产出进度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Cs/>
          <w:sz w:val="32"/>
          <w:szCs w:val="32"/>
        </w:rPr>
      </w:pPr>
      <w:r>
        <w:rPr>
          <w:rFonts w:hint="eastAsia" w:ascii="仿宋_GB2312" w:eastAsia="仿宋_GB2312"/>
          <w:sz w:val="32"/>
          <w:szCs w:val="32"/>
        </w:rPr>
        <w:t>2024年度市政务和数据局各项任务产出进度总体执行较好，纳入自评的所有项目整体按照计划进度要求完成相应内容，但部分项目受机构改革转隶与搬迁、项目储备不够充分、废标等因素影响，阶段性工作开展存在一定偏差。基于项目自评结果及提交的佐证材料，</w:t>
      </w:r>
      <w:r>
        <w:rPr>
          <w:rFonts w:hint="eastAsia" w:ascii="仿宋_GB2312" w:eastAsia="仿宋_GB2312" w:cs="仿宋_GB2312"/>
          <w:sz w:val="32"/>
          <w:szCs w:val="32"/>
          <w:lang w:bidi="ar"/>
        </w:rPr>
        <w:t>存在部分项目相应进度节点安排存在一定偏差，</w:t>
      </w:r>
      <w:r>
        <w:rPr>
          <w:rFonts w:hint="eastAsia" w:ascii="仿宋_GB2312" w:eastAsia="仿宋_GB2312"/>
          <w:bCs/>
          <w:sz w:val="32"/>
          <w:szCs w:val="32"/>
        </w:rPr>
        <w:t>产出进度指标执行偏差率约为31%。</w:t>
      </w:r>
    </w:p>
    <w:p>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4.</w:t>
      </w:r>
      <w:r>
        <w:rPr>
          <w:rFonts w:hint="eastAsia" w:ascii="仿宋_GB2312" w:eastAsia="仿宋_GB2312"/>
          <w:bCs/>
          <w:sz w:val="32"/>
          <w:szCs w:val="32"/>
        </w:rPr>
        <w:t>产出</w:t>
      </w:r>
      <w:r>
        <w:rPr>
          <w:rFonts w:ascii="仿宋_GB2312" w:eastAsia="仿宋_GB2312"/>
          <w:bCs/>
          <w:sz w:val="32"/>
          <w:szCs w:val="32"/>
        </w:rPr>
        <w:t>成本</w:t>
      </w:r>
    </w:p>
    <w:p>
      <w:pPr>
        <w:pStyle w:val="24"/>
        <w:tabs>
          <w:tab w:val="left" w:pos="1418"/>
        </w:tabs>
        <w:adjustRightInd w:val="0"/>
        <w:snapToGrid w:val="0"/>
        <w:spacing w:line="560" w:lineRule="exact"/>
        <w:ind w:firstLine="640"/>
        <w:rPr>
          <w:rFonts w:hint="eastAsia" w:ascii="仿宋_GB2312" w:hAnsi="仿宋"/>
          <w:sz w:val="32"/>
          <w:szCs w:val="32"/>
        </w:rPr>
      </w:pPr>
      <w:r>
        <w:rPr>
          <w:rFonts w:hint="eastAsia" w:ascii="仿宋_GB2312" w:hAnsi="仿宋"/>
          <w:sz w:val="32"/>
          <w:szCs w:val="32"/>
        </w:rPr>
        <w:t>（1）公用经费控制情况。2</w:t>
      </w:r>
      <w:r>
        <w:rPr>
          <w:rFonts w:ascii="仿宋_GB2312" w:hAnsi="仿宋"/>
          <w:sz w:val="32"/>
          <w:szCs w:val="32"/>
        </w:rPr>
        <w:t>02</w:t>
      </w:r>
      <w:r>
        <w:rPr>
          <w:rFonts w:hint="eastAsia" w:ascii="仿宋_GB2312" w:hAnsi="仿宋"/>
          <w:sz w:val="32"/>
          <w:szCs w:val="32"/>
        </w:rPr>
        <w:t>4年度，市政务和数据局经费支出严格按照中央和北京市相关规定和要求执行，三公经费实际支出未超预算安排；日常公用经费未超日常公用经费全年预算数，公用经费控制情况较好。</w:t>
      </w:r>
    </w:p>
    <w:p>
      <w:pPr>
        <w:pStyle w:val="24"/>
        <w:tabs>
          <w:tab w:val="left" w:pos="1418"/>
        </w:tabs>
        <w:adjustRightInd w:val="0"/>
        <w:snapToGrid w:val="0"/>
        <w:spacing w:line="560" w:lineRule="exact"/>
        <w:ind w:firstLine="640"/>
        <w:rPr>
          <w:rFonts w:hint="eastAsia" w:ascii="仿宋_GB2312" w:hAnsi="仿宋_GB2312" w:cs="仿宋_GB2312"/>
          <w:sz w:val="32"/>
          <w:szCs w:val="32"/>
        </w:rPr>
      </w:pPr>
      <w:r>
        <w:rPr>
          <w:rFonts w:hint="eastAsia" w:ascii="仿宋_GB2312" w:hAnsi="仿宋"/>
          <w:sz w:val="32"/>
          <w:szCs w:val="32"/>
        </w:rPr>
        <w:t>（2）部门总成本控制情况。2024年度，市政务和数据局实际支出资金95,690.29万元，</w:t>
      </w:r>
      <w:r>
        <w:rPr>
          <w:sz w:val="32"/>
          <w:szCs w:val="32"/>
        </w:rPr>
        <w:t>各项产出活动均在财政批复的资金范围内开展，</w:t>
      </w:r>
      <w:r>
        <w:rPr>
          <w:rFonts w:hint="eastAsia"/>
          <w:sz w:val="32"/>
          <w:szCs w:val="32"/>
        </w:rPr>
        <w:t>并通过公开招标等政府采购方式节约财政资金，部门整体支出成本控制较好，单位成本均衡平稳</w:t>
      </w:r>
      <w:r>
        <w:rPr>
          <w:rFonts w:hint="eastAsia" w:ascii="仿宋_GB2312" w:hAnsi="仿宋"/>
          <w:sz w:val="32"/>
          <w:szCs w:val="32"/>
        </w:rPr>
        <w:t>。但存在个别项目分项内容实际执行金额与预算测算金额存在一定的差异，重点评价项目市大数据中心社会数据统采共用项目的</w:t>
      </w:r>
      <w:r>
        <w:rPr>
          <w:rFonts w:hint="eastAsia" w:ascii="仿宋_GB2312" w:hAnsi="仿宋_GB2312" w:cs="仿宋_GB2312"/>
          <w:sz w:val="32"/>
          <w:szCs w:val="32"/>
        </w:rPr>
        <w:t>成本节约性有待增强。</w:t>
      </w:r>
    </w:p>
    <w:p>
      <w:pPr>
        <w:adjustRightInd w:val="0"/>
        <w:snapToGrid w:val="0"/>
        <w:spacing w:line="560" w:lineRule="exact"/>
        <w:ind w:firstLine="640" w:firstLineChars="200"/>
        <w:outlineLvl w:val="1"/>
        <w:rPr>
          <w:rFonts w:ascii="楷体_GB2312" w:eastAsia="楷体_GB2312"/>
          <w:sz w:val="32"/>
          <w:szCs w:val="32"/>
        </w:rPr>
      </w:pPr>
      <w:bookmarkStart w:id="5" w:name="_Toc8508"/>
      <w:bookmarkStart w:id="6" w:name="_Toc7238"/>
      <w:r>
        <w:rPr>
          <w:rFonts w:hint="eastAsia" w:ascii="楷体_GB2312" w:eastAsia="楷体_GB2312"/>
          <w:sz w:val="32"/>
          <w:szCs w:val="32"/>
        </w:rPr>
        <w:t>（二）效果</w:t>
      </w:r>
      <w:r>
        <w:rPr>
          <w:rFonts w:ascii="楷体_GB2312" w:eastAsia="楷体_GB2312"/>
          <w:sz w:val="32"/>
          <w:szCs w:val="32"/>
        </w:rPr>
        <w:t>实现情况分析</w:t>
      </w:r>
    </w:p>
    <w:p>
      <w:pPr>
        <w:adjustRightInd w:val="0"/>
        <w:snapToGrid w:val="0"/>
        <w:spacing w:line="560" w:lineRule="exact"/>
        <w:ind w:firstLine="640" w:firstLineChars="200"/>
        <w:rPr>
          <w:rFonts w:ascii="仿宋_GB2312" w:eastAsia="仿宋_GB2312"/>
          <w:bCs/>
          <w:sz w:val="32"/>
          <w:szCs w:val="32"/>
        </w:rPr>
      </w:pPr>
      <w:r>
        <w:rPr>
          <w:rFonts w:hint="eastAsia" w:ascii="仿宋_GB2312" w:hAnsi="黑体" w:eastAsia="仿宋_GB2312" w:cs="宋体"/>
          <w:sz w:val="32"/>
          <w:szCs w:val="32"/>
        </w:rPr>
        <w:t>2024年市政务和数据局始终把党的政治建设摆在首位，坚持以党的政治建设为统领，全面深化改革创新，统筹推进数字政务、智慧城市与数据要素市场建设等各项重点任务，不断提升政务服务效能，在服务首都高质量发展、提升城市治理现代化水平等领域取得了</w:t>
      </w:r>
      <w:r>
        <w:rPr>
          <w:rFonts w:hint="eastAsia" w:ascii="仿宋_GB2312" w:hAnsi="黑体" w:eastAsia="仿宋_GB2312" w:cs="宋体"/>
          <w:sz w:val="32"/>
          <w:szCs w:val="32"/>
          <w:lang w:val="en-US" w:eastAsia="zh-CN"/>
        </w:rPr>
        <w:t>明显</w:t>
      </w:r>
      <w:r>
        <w:rPr>
          <w:rFonts w:hint="eastAsia" w:ascii="仿宋_GB2312" w:hAnsi="黑体" w:eastAsia="仿宋_GB2312" w:cs="宋体"/>
          <w:sz w:val="32"/>
          <w:szCs w:val="32"/>
        </w:rPr>
        <w:t>的社会效益。具体如下：</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1.圆满完成机构改革任务</w:t>
      </w:r>
    </w:p>
    <w:p>
      <w:pPr>
        <w:adjustRightInd w:val="0"/>
        <w:snapToGrid w:val="0"/>
        <w:spacing w:line="560" w:lineRule="exact"/>
        <w:ind w:firstLine="640" w:firstLineChars="200"/>
        <w:rPr>
          <w:rFonts w:hint="eastAsia" w:ascii="仿宋_GB2312" w:hAnsi="黑体" w:eastAsia="仿宋_GB2312" w:cs="宋体"/>
          <w:sz w:val="32"/>
          <w:szCs w:val="32"/>
        </w:rPr>
      </w:pPr>
      <w:r>
        <w:rPr>
          <w:rFonts w:ascii="仿宋_GB2312" w:hAnsi="黑体" w:eastAsia="仿宋_GB2312" w:cs="宋体"/>
          <w:sz w:val="32"/>
          <w:szCs w:val="32"/>
        </w:rPr>
        <w:t>为积极响应全市机构改革工作部署，</w:t>
      </w:r>
      <w:r>
        <w:rPr>
          <w:rFonts w:hint="eastAsia" w:ascii="仿宋_GB2312" w:hAnsi="黑体" w:eastAsia="仿宋_GB2312" w:cs="宋体"/>
          <w:sz w:val="32"/>
          <w:szCs w:val="32"/>
        </w:rPr>
        <w:t>第一时间传达落实全市机构改革会议精神，</w:t>
      </w:r>
      <w:r>
        <w:rPr>
          <w:rFonts w:ascii="仿宋_GB2312" w:hAnsi="黑体" w:eastAsia="仿宋_GB2312" w:cs="宋体"/>
          <w:sz w:val="32"/>
          <w:szCs w:val="32"/>
        </w:rPr>
        <w:t>扎实推进干部人事调整工作，</w:t>
      </w:r>
      <w:r>
        <w:rPr>
          <w:rFonts w:hint="eastAsia" w:ascii="仿宋_GB2312" w:hAnsi="黑体" w:eastAsia="仿宋_GB2312" w:cs="宋体"/>
          <w:sz w:val="32"/>
          <w:szCs w:val="32"/>
        </w:rPr>
        <w:t>完成与4家单位干部转隶</w:t>
      </w:r>
      <w:r>
        <w:rPr>
          <w:rFonts w:ascii="仿宋_GB2312" w:hAnsi="黑体" w:eastAsia="仿宋_GB2312" w:cs="宋体"/>
          <w:sz w:val="32"/>
          <w:szCs w:val="32"/>
        </w:rPr>
        <w:t>对接</w:t>
      </w:r>
      <w:r>
        <w:rPr>
          <w:rFonts w:hint="eastAsia" w:ascii="仿宋_GB2312" w:hAnsi="黑体" w:eastAsia="仿宋_GB2312" w:cs="宋体"/>
          <w:sz w:val="32"/>
          <w:szCs w:val="32"/>
        </w:rPr>
        <w:t>工作。系统谋划“三定”规定，优化内设机构编制和职责分工。组织开展局属事业单位机构编制调整，调整合并议事协调机构。以机构改革为契机，推进板块融合、业务融合、人员融合。</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2.顺利完成搬迁副中心</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成立搬迁工作领导小组，召开局党组会、领导小组会、局长专题会等10余次。全局齐动员、形成“一盘棋”，实现平稳、安全、有序、节俭搬迁，为全局长远发展奠定坚实基础。</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3.市政务服务中心和热线新职场实现整体提升</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组建工作专班，开展每周专题调度。推进市政务服务中心及周边环境一体化改造，集中展示政务服务、热线服务、数字服务成果，提升“一门一号一网”“北京服务”整体形象；设计“北京服务”标识，阐释“北京服务”精神内涵；完成12345市民热线新职场建设。同时，结合“七有”“五性”，建设“为民公园”。</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4.成功举办2024北京接诉即办改革论坛</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论坛宣传阐释了总书记思想，讲好了中国共产党的故事、中国式现代化的故事、“中国之治”的故事。发布中英文版《北京接诉即办理论研究成果》《城市治理典型案例》《全球城市热线服务与治理效能测评报告》，与国际城市代表共同发布《城市治理现代化北京宣言2024》，面向全球发出城市治理的共识和倡议。境内外新闻媒体及社交媒体等1258家媒体报道转载、宣发涉论坛相关信息4.7万条，互动量达130万次，全网信息浏览量累计超1.43亿次，覆盖全球38个国家和16种语言。</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5.接诉即办改革持续深化</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完善“接、派、办、评”全链条工作流程。12345热线全年受理反映2419.5万件，解决率96.7%、满意率97.0%。加强“每月一题”专项治理，完成372项任务、出台104项政策。会同市委编办印发专项清单，明确35个治理场景下市、区和街乡镇的297项职责任务。优化企业服务热线，推出在线专业咨询、增值服务等13条措施。5月1日以来受理企业来电21.1万件，同比上升139%。完善“日报告、周分析、月通报、年体检”机制，</w:t>
      </w:r>
      <w:r>
        <w:rPr>
          <w:rFonts w:hint="eastAsia" w:ascii="仿宋_GB2312" w:hAnsi="黑体" w:eastAsia="仿宋_GB2312" w:cs="宋体"/>
          <w:sz w:val="32"/>
          <w:szCs w:val="32"/>
          <w:lang w:val="zh-CN"/>
        </w:rPr>
        <w:t>推动热线向“窗口+智库”升级。深化接诉即办学理化研究，衔接国际通行学术话语开展国际化研究。加强接诉即办交流，</w:t>
      </w:r>
      <w:r>
        <w:rPr>
          <w:rFonts w:hint="eastAsia" w:ascii="仿宋_GB2312" w:hAnsi="黑体" w:eastAsia="仿宋_GB2312" w:cs="宋体"/>
          <w:sz w:val="32"/>
          <w:szCs w:val="32"/>
        </w:rPr>
        <w:t>接待中央组织部、中央政法委等中央单位调研24批次，赴外省市工作交流37批次，</w:t>
      </w:r>
      <w:r>
        <w:rPr>
          <w:rFonts w:hint="eastAsia" w:ascii="仿宋_GB2312" w:hAnsi="黑体" w:eastAsia="仿宋_GB2312" w:cs="宋体"/>
          <w:sz w:val="32"/>
          <w:szCs w:val="32"/>
          <w:lang w:val="zh-CN"/>
        </w:rPr>
        <w:t>接待</w:t>
      </w:r>
      <w:r>
        <w:rPr>
          <w:rFonts w:hint="eastAsia" w:ascii="仿宋_GB2312" w:hAnsi="黑体" w:eastAsia="仿宋_GB2312" w:cs="宋体"/>
          <w:sz w:val="32"/>
          <w:szCs w:val="32"/>
        </w:rPr>
        <w:t>10</w:t>
      </w:r>
      <w:r>
        <w:rPr>
          <w:rFonts w:hint="eastAsia" w:ascii="仿宋_GB2312" w:hAnsi="黑体" w:eastAsia="仿宋_GB2312" w:cs="宋体"/>
          <w:sz w:val="32"/>
          <w:szCs w:val="32"/>
          <w:lang w:val="zh-CN"/>
        </w:rPr>
        <w:t>0多个国家</w:t>
      </w:r>
      <w:r>
        <w:rPr>
          <w:rFonts w:hint="eastAsia" w:ascii="仿宋_GB2312" w:hAnsi="黑体" w:eastAsia="仿宋_GB2312" w:cs="宋体"/>
          <w:sz w:val="32"/>
          <w:szCs w:val="32"/>
        </w:rPr>
        <w:t>65</w:t>
      </w:r>
      <w:r>
        <w:rPr>
          <w:rFonts w:hint="eastAsia" w:ascii="仿宋_GB2312" w:hAnsi="黑体" w:eastAsia="仿宋_GB2312" w:cs="宋体"/>
          <w:sz w:val="32"/>
          <w:szCs w:val="32"/>
          <w:lang w:val="zh-CN"/>
        </w:rPr>
        <w:t>0多名外籍人士。在</w:t>
      </w:r>
      <w:r>
        <w:rPr>
          <w:rFonts w:hint="eastAsia" w:ascii="仿宋_GB2312" w:hAnsi="黑体" w:eastAsia="仿宋_GB2312" w:cs="宋体"/>
          <w:sz w:val="32"/>
          <w:szCs w:val="32"/>
        </w:rPr>
        <w:t>中央社会工作部召开的现场推进会上，党建引领接诉即办工作经验得以在全国推广。</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6.政务服务改革成效明显</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全面推进“高效办成一件事”集成服务改革，上线112个（含40个“一业一证”改革行业）“高效办成一件事”，平均压减时间60%、压减材料55.9%、压减跑动89.2%，月均办理量54.2万件。“高效办成一件事”改革纳入2024年国办优化营商环境专项督查典型经验，开办运输企业、新生儿出生、企业注销等“一件事”入选国办“高效办成一件事”典型经验，国办政务办确定我市为企业上市合法合规信息核查、企业破产信息核查、企业注销登记3个“一件事”集中攻关和创新示范地区，参与编写《“高效办成一件事”重点事项“集成办”工作指南》国家标准。落实审批服务协调“专事专议”制度，推出企业“三送”服务。统筹全市行政许可实施规范编制，细化2300余项业务办理项。开展18场“政务服务云讲堂”，组织全市政务服务体系线下培训。推动政务服务向147个企业孵化器延伸。完善政务服务质效监测评价。加强政务服务领域诉求接诉即办，完善政务服务月调度机制、问题工单处理机制，解决问题1070个。优化贷款服务中心，申请3.7万笔，涉及金额1555.34亿元；审批通过2.6万笔，涉及金额1097.75亿元，户均414.34万元。</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7.智慧城市建设加速推进</w:t>
      </w:r>
    </w:p>
    <w:p>
      <w:pPr>
        <w:adjustRightInd w:val="0"/>
        <w:snapToGrid w:val="0"/>
        <w:spacing w:line="560" w:lineRule="exact"/>
        <w:ind w:firstLine="640"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完善工作机制，健全“规划管控、数据治理、平台支撑”三大工作体系。“京通”各端实名注册个人用户总数8626万、法人用户338万，移动端累计接入1264项服务、17个区级服务旗舰店和237个电子证照。“京办”注册用户超50万人，月活率稳定在70%以上，接入系统448个。“京智”完成移动端升级建设，与“京办”集成实现“决策+办公”一体化服务，累计接入56个决策专题应用、1800余项城市运行指标。夯实“七通一平”数字底座，实现115.08万件感知设施落图管理，人、企、物等各类城市码赋码量合计达4077.61万次，“一图”汇聚加工制作108类政务信息图层，政务区块链支撑平台实现电子签章、积分落户、取用水、城市码、目录链等15个应用。推动“三个一网”牵引应用，“一网通办”累计1808个事项在统一申办受理平台上线运行，支持经开区“四个免于提交”试点；推动10个“一网统管”示范场景建设；“一网慧治”新增接入26个领域级决策专题，3个区域级决策专题。创新开放智慧城市场景，发布68项创新需求、19项创新成果。建设智慧城市协同创新仿真实验平台。</w:t>
      </w:r>
    </w:p>
    <w:p>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8.数据管理取得新突破</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制定加快公共数据开发利用、数据标准体系框架等制度，完善数字社会建设三年行动计划。开展数据立法前期研究。市大数据平台新增汇聚数据超1500亿条，提供数据共享服务超2000亿条。北数所场内引入交易主体2027家，新增交易51.39亿元。开展两批“数据要素×”典型案例征集，“数据要素驱动适应多式联运需求的运输装备协同制造”等3个案例入选首批国家案例。推进政务领域人工智能应用，出台政务大模型建设和应用统筹管理基本要求，建设公共数据训练基地，市司法局行政复议大模型等4个项目模型入场训练。深化京津冀数据领域合作，签订《京津冀数据协同发展战略合作协议》，推动“通武廊”数据协同应用场景试点，形成首批交通、水务领域共享需求清单。</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9.政策服务和政务公开不断优化</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制发政策服务平台运行管理工作规范，“京策”平台实现市区两级涉及财政资金的惠企政策事项统一集中申报。汇聚现行有效政策1.36万份，上线773个惠企政策兑现事项，政策精准推送174万家企业。审核市政府政策文件55份，排查舆情风险点424个。受理政府信息公开申请4.9万余件。</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10.京津冀政务服务协同发展统筹推进</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京津冀“一网通办”专区上线417项事项。实现230项三地自贸试验区“同事同标”政务服务事项，入选商务部“全国自由贸易试验区最佳实践案例”。推出两批共44项京津冀资质资格互认事项，累计推出209项。上线“跨省通办”服务专区，接入90项服务。全面落实支持城市副中心政务服务高质量发展14条举措、22项措施。公布108项“北京+雄安”政务服务同城化事项清单、39项告知承诺制申请材料清单。签订京津冀政务公开协同发展框架协议。推动“京津冀+雄安”热线协同，三地17个城市热线对接，2023年8月“一键互转”以来累计办理跨区域诉求7.1万件。</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11.城市国际化服务水平持续提升</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推出22个场景化集成服务，在全国率先破解外国人数字身份核验难题，核验时长由7分钟缩短至30秒。改版上线9语种北京国际版门户网站，总体访问量上涨16%，海外访问量占比35%。市政府门户网站国际化数字服务和无障碍技术应用2个案例入选《联合国电子政务调查报告2024》，北京经验成为报告中唯一推荐的中国城市案例。“网络+热线+大厅”国际化服务矩阵基本搭建。加强涉外诉求接诉即办工作，11个月来国际版网上12345诉求量增长3.3倍，平均办理时间压缩7天（目前平均3天）。优化入境首站服务，首都国际机场和大兴国际机场两个北京服务（机场服务点）为入境旅客提供金融、通讯、交通、文旅等20余项服务，日均服务约3000人。编制全国首个城市英文地图，研究突破地名译写难题，推动平台推出英文地图应用。在全国率先开展外籍人士手机SIM卡“线上预约、线下取卡、高效核验”便利办理试点。推动购物、外卖、快递等商业APP国际化升级。在2个机场和8个高铁站开展北京城市国际化服务公益宣传。</w:t>
      </w:r>
    </w:p>
    <w:bookmarkEnd w:id="5"/>
    <w:bookmarkEnd w:id="6"/>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综上，20</w:t>
      </w:r>
      <w:r>
        <w:rPr>
          <w:rFonts w:ascii="仿宋_GB2312" w:hAnsi="黑体" w:eastAsia="仿宋_GB2312" w:cs="宋体"/>
          <w:sz w:val="32"/>
          <w:szCs w:val="32"/>
        </w:rPr>
        <w:t>2</w:t>
      </w:r>
      <w:r>
        <w:rPr>
          <w:rFonts w:hint="eastAsia" w:ascii="仿宋_GB2312" w:hAnsi="黑体" w:eastAsia="仿宋_GB2312" w:cs="宋体"/>
          <w:sz w:val="32"/>
          <w:szCs w:val="32"/>
        </w:rPr>
        <w:t>4年度市政务和数据局围绕年度总体目标及年度工作要点，部门整体履职层面取得了较好的社会效益及可持续影响。但从具体项目来看，基于项目自评结果及提交的佐证材料，存在部分项目效益发挥仍有一定改进空间，延续性项目年度效益以及年度工作开展对中长期目标达成的渐进式作用不够凸显，且存在个别项目效益指标为定性指标，实际达成效果情况呈现不够充分。此外，部分项目针对满意度调查工作的重视不足，未相应开展满意度调查，或满意度调查样本量少、调查问题较简单，无法有效支撑形成项目后续改进方向。</w:t>
      </w:r>
    </w:p>
    <w:p>
      <w:pPr>
        <w:adjustRightInd w:val="0"/>
        <w:snapToGrid w:val="0"/>
        <w:spacing w:line="560" w:lineRule="exact"/>
        <w:ind w:firstLine="640" w:firstLineChars="200"/>
        <w:outlineLvl w:val="0"/>
        <w:rPr>
          <w:rFonts w:hint="eastAsia" w:ascii="黑体" w:hAnsi="黑体" w:eastAsia="黑体" w:cs="宋体"/>
          <w:kern w:val="0"/>
          <w:sz w:val="32"/>
          <w:szCs w:val="32"/>
        </w:rPr>
      </w:pPr>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（一）财务管理</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1.财务</w:t>
      </w:r>
      <w:r>
        <w:rPr>
          <w:rFonts w:ascii="仿宋_GB2312" w:eastAsia="仿宋_GB2312"/>
          <w:bCs/>
          <w:sz w:val="32"/>
          <w:szCs w:val="32"/>
        </w:rPr>
        <w:t>管理制度健全性</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为提高财政资金使用的合规性和安全性，市政务和数据局2</w:t>
      </w:r>
      <w:r>
        <w:rPr>
          <w:rFonts w:ascii="仿宋_GB2312" w:hAnsi="黑体" w:eastAsia="仿宋_GB2312" w:cs="宋体"/>
          <w:sz w:val="32"/>
          <w:szCs w:val="32"/>
        </w:rPr>
        <w:t>02</w:t>
      </w:r>
      <w:r>
        <w:rPr>
          <w:rFonts w:hint="eastAsia" w:ascii="仿宋_GB2312" w:hAnsi="黑体" w:eastAsia="仿宋_GB2312" w:cs="宋体"/>
          <w:sz w:val="32"/>
          <w:szCs w:val="32"/>
        </w:rPr>
        <w:t>4年1月更新印发了《北京市政务服务和数据管理局内部控制手册（试行）》，形成了一套较为完备的财务管理制度，涵盖预算绩效管理、资产管理、财务运行及会计核算等共计30个制度文件（关键性制度文件见表8），并针对预算管理、采购管理、合同管理、收支管理、资产管理及建设项目管理等内容制定了内部流程及风险控制程序，能够有效保障部门履职工作的顺利开展。</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2024年度，市政务和数据局继续深入推进开展建章立制工作，基于依据性法规废止更新情况，修订了《北京市政务服务和数据管理局合同管理办法》制度，用于指导局内各处室更加规范、便捷开展各项经济活动。</w:t>
      </w:r>
    </w:p>
    <w:p>
      <w:pPr>
        <w:adjustRightInd w:val="0"/>
        <w:snapToGrid w:val="0"/>
        <w:spacing w:line="560" w:lineRule="exact"/>
        <w:ind w:firstLine="640" w:firstLineChars="200"/>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整体上，市政务和数据局预算绩效及资产、内部财务管理、会计核算制度较为健全，但内控手册中部分试行管理办法发布时间较早、制度条文更新及时性有待进一步提升，其中会计基础工作规范、公务卡使用管理办法、公务卡使用管理办法、印鉴管理办法等制度文件应结合新的政策法规变化及履职需要适时修订。</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2.资金使用合规性</w:t>
      </w:r>
      <w:r>
        <w:rPr>
          <w:rFonts w:ascii="仿宋_GB2312" w:eastAsia="仿宋_GB2312"/>
          <w:bCs/>
          <w:sz w:val="32"/>
          <w:szCs w:val="32"/>
        </w:rPr>
        <w:t>和安全性</w:t>
      </w:r>
    </w:p>
    <w:p>
      <w:pPr>
        <w:adjustRightInd w:val="0"/>
        <w:snapToGrid w:val="0"/>
        <w:spacing w:line="560" w:lineRule="exact"/>
        <w:ind w:firstLine="640" w:firstLineChars="200"/>
        <w:rPr>
          <w:rFonts w:eastAsia="仿宋_GB2312"/>
          <w:sz w:val="32"/>
          <w:szCs w:val="32"/>
        </w:rPr>
      </w:pPr>
      <w:r>
        <w:rPr>
          <w:rFonts w:hint="eastAsia" w:eastAsia="仿宋_GB2312"/>
          <w:sz w:val="32"/>
          <w:szCs w:val="32"/>
        </w:rPr>
        <w:t>市政务和数据局严格按照国家及部门相关财务管理制度规定的开支范围与标准执行，政府采购限额以上的项目采购及采购限额以下的零星采购、协议采购均按照相关程序及方式执行，资金支出严格履行市政务和数据局内部审批权限及流程，对于部门重大事项决策、重要人事安排、‌重大项目安排‌、大额资金使用等内容，均由局党组会集体讨论和研究确定。各类资金使用均根据年度用款计划及合同约定支出，对于本年度支出计划发生变化的项目，及时调整预算，并将结余资金及时交回财政，无截留、挤占、挪用资金情况。市政务和数据局严格执行公务卡强制结算目录，凡目录规定的公务支出项目，均通过国库集中支付系统和公务卡支出系统按照报销提请、还款、资金退回、账务处理与对账等规定程序使用公务卡结算。整体上，市政务和数据局资金使用合规、安全、有效。</w:t>
      </w:r>
    </w:p>
    <w:p>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3.</w:t>
      </w:r>
      <w:r>
        <w:rPr>
          <w:rFonts w:hint="eastAsia" w:ascii="仿宋_GB2312" w:eastAsia="仿宋_GB2312"/>
          <w:bCs/>
          <w:sz w:val="32"/>
          <w:szCs w:val="32"/>
        </w:rPr>
        <w:t>会计</w:t>
      </w:r>
      <w:r>
        <w:rPr>
          <w:rFonts w:ascii="仿宋_GB2312" w:eastAsia="仿宋_GB2312"/>
          <w:bCs/>
          <w:sz w:val="32"/>
          <w:szCs w:val="32"/>
        </w:rPr>
        <w:t>基础信息完善性</w:t>
      </w:r>
    </w:p>
    <w:p>
      <w:pPr>
        <w:adjustRightInd w:val="0"/>
        <w:snapToGrid w:val="0"/>
        <w:spacing w:line="560" w:lineRule="exact"/>
        <w:ind w:firstLine="640" w:firstLineChars="200"/>
        <w:rPr>
          <w:rFonts w:eastAsia="仿宋_GB2312"/>
          <w:sz w:val="32"/>
          <w:szCs w:val="32"/>
        </w:rPr>
      </w:pPr>
      <w:r>
        <w:rPr>
          <w:rFonts w:hint="eastAsia" w:ascii="仿宋_GB2312" w:eastAsia="仿宋_GB2312"/>
          <w:bCs/>
          <w:sz w:val="32"/>
          <w:szCs w:val="32"/>
        </w:rPr>
        <w:t>市政务和数据局严格实行财务会计和预算会计适度分离并相互衔接的会计核算模式，财</w:t>
      </w:r>
      <w:r>
        <w:rPr>
          <w:rFonts w:hint="eastAsia" w:eastAsia="仿宋_GB2312"/>
          <w:sz w:val="32"/>
          <w:szCs w:val="32"/>
        </w:rPr>
        <w:t>务会计采用权责发生制，通过资产、负债、净资产、收入、费用五个要素进行财务会计核算，预算会计采用收付实现制，通过预算收入、预算支出和预算结余三个要素进行预算会计核算。市政务和数据局严格执行上述财务管理制度，对经费支出流程、政府采购等均履行了相应的审批、核算及拨付程序和手续，会计凭证、会计账簿、会计报表及其相关的电算化数据规范完整、真实详尽，原始凭证及记账凭证内容要素、签名签章齐全。会计账簿记录与原始凭证、记账凭证的时间、凭证字号、内容、金额一致，记账方向相符；总账与明细账相符，总账与日记账相符；会计账簿记录与财产等实有数额相符。此外，市政务和数据局按照规定履行了期末结账及财务报告编制工作。</w:t>
      </w:r>
    </w:p>
    <w:p>
      <w:pPr>
        <w:adjustRightInd w:val="0"/>
        <w:snapToGrid w:val="0"/>
        <w:spacing w:line="560" w:lineRule="exact"/>
        <w:ind w:firstLine="640" w:firstLineChars="200"/>
        <w:rPr>
          <w:rFonts w:eastAsia="仿宋_GB2312"/>
          <w:sz w:val="32"/>
          <w:szCs w:val="32"/>
        </w:rPr>
      </w:pPr>
      <w:r>
        <w:rPr>
          <w:rFonts w:hint="eastAsia" w:ascii="仿宋_GB2312" w:eastAsia="仿宋_GB2312"/>
          <w:bCs/>
          <w:sz w:val="32"/>
          <w:szCs w:val="32"/>
        </w:rPr>
        <w:t>针对上年度内控报告所提建议，市政务和数据局迅速部署、扎实推进整改工作。2024年，通过建设内部控制信息管理系统，全面整合基础核算、预算管控等核心功能模块，将财务收支、预算管理、合同管理等经济业务全流程纳入系统监管，实现了经济活动线上申报审批，各业务环节数据贯通、全程留痕可溯。同时，深度嵌入风险控制要素，以系统化、标准化的“机控”模式替代传统“人控”，有效提升了内控管理的精准性与规范性。</w:t>
      </w: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（二）资产管理</w:t>
      </w:r>
    </w:p>
    <w:p>
      <w:pPr>
        <w:pStyle w:val="4"/>
        <w:adjustRightInd w:val="0"/>
        <w:snapToGrid w:val="0"/>
        <w:spacing w:line="560" w:lineRule="exact"/>
        <w:ind w:firstLine="640" w:firstLineChars="200"/>
        <w:rPr>
          <w:rFonts w:hint="eastAsia" w:ascii="仿宋_GB2312" w:hAnsi="仿宋_GB2312" w:cs="仿宋_GB2312"/>
          <w:sz w:val="32"/>
          <w:szCs w:val="32"/>
        </w:rPr>
      </w:pPr>
      <w:r>
        <w:rPr>
          <w:sz w:val="32"/>
          <w:szCs w:val="32"/>
        </w:rPr>
        <w:t>按照市财政局</w:t>
      </w:r>
      <w:r>
        <w:rPr>
          <w:rFonts w:hint="eastAsia"/>
          <w:sz w:val="32"/>
          <w:szCs w:val="32"/>
        </w:rPr>
        <w:t>、市政务和数据局</w:t>
      </w:r>
      <w:r>
        <w:rPr>
          <w:sz w:val="32"/>
          <w:szCs w:val="32"/>
        </w:rPr>
        <w:t>的相关</w:t>
      </w:r>
      <w:r>
        <w:rPr>
          <w:rFonts w:hint="eastAsia"/>
          <w:sz w:val="32"/>
          <w:szCs w:val="32"/>
        </w:rPr>
        <w:t>资产管理</w:t>
      </w:r>
      <w:r>
        <w:rPr>
          <w:sz w:val="32"/>
          <w:szCs w:val="32"/>
        </w:rPr>
        <w:t>规定，</w:t>
      </w:r>
      <w:r>
        <w:rPr>
          <w:rFonts w:hint="eastAsia"/>
          <w:sz w:val="32"/>
          <w:szCs w:val="32"/>
        </w:rPr>
        <w:t>市政务和数据局</w:t>
      </w:r>
      <w:r>
        <w:rPr>
          <w:sz w:val="32"/>
          <w:szCs w:val="32"/>
        </w:rPr>
        <w:t>完成</w:t>
      </w:r>
      <w:r>
        <w:rPr>
          <w:rFonts w:hint="eastAsia"/>
          <w:sz w:val="32"/>
          <w:szCs w:val="32"/>
        </w:rPr>
        <w:t>了</w:t>
      </w:r>
      <w:r>
        <w:rPr>
          <w:sz w:val="32"/>
          <w:szCs w:val="32"/>
        </w:rPr>
        <w:t>国有资产的动态管理工作，主要包括</w:t>
      </w:r>
      <w:r>
        <w:rPr>
          <w:rFonts w:hint="eastAsia"/>
          <w:sz w:val="32"/>
          <w:szCs w:val="32"/>
        </w:rPr>
        <w:t>：</w:t>
      </w:r>
      <w:r>
        <w:rPr>
          <w:sz w:val="32"/>
          <w:szCs w:val="32"/>
        </w:rPr>
        <w:t>对新增</w:t>
      </w:r>
      <w:r>
        <w:rPr>
          <w:rFonts w:hint="eastAsia"/>
          <w:sz w:val="32"/>
          <w:szCs w:val="32"/>
        </w:rPr>
        <w:t>固定</w:t>
      </w:r>
      <w:r>
        <w:rPr>
          <w:sz w:val="32"/>
          <w:szCs w:val="32"/>
        </w:rPr>
        <w:t>资产按时入库</w:t>
      </w:r>
      <w:r>
        <w:rPr>
          <w:rFonts w:hint="eastAsia"/>
          <w:sz w:val="32"/>
          <w:szCs w:val="32"/>
        </w:rPr>
        <w:t>、</w:t>
      </w:r>
      <w:r>
        <w:rPr>
          <w:sz w:val="32"/>
          <w:szCs w:val="32"/>
        </w:rPr>
        <w:t>纳入</w:t>
      </w:r>
      <w:r>
        <w:rPr>
          <w:rFonts w:hint="eastAsia"/>
          <w:sz w:val="32"/>
          <w:szCs w:val="32"/>
        </w:rPr>
        <w:t>日</w:t>
      </w:r>
      <w:r>
        <w:rPr>
          <w:sz w:val="32"/>
          <w:szCs w:val="32"/>
        </w:rPr>
        <w:t>常管理；根据实际情况，及时更改资产的相关数据，做到账实相符；按照相关规定进行固定资产处置的申报、审批程序，保证资产发挥最大使用效益</w:t>
      </w:r>
      <w:r>
        <w:rPr>
          <w:rFonts w:hint="eastAsia"/>
          <w:sz w:val="32"/>
          <w:szCs w:val="32"/>
        </w:rPr>
        <w:t>。</w:t>
      </w:r>
      <w:r>
        <w:rPr>
          <w:rFonts w:hint="eastAsia" w:ascii="仿宋_GB2312" w:hAnsi="仿宋_GB2312" w:cs="仿宋_GB2312"/>
          <w:sz w:val="32"/>
          <w:szCs w:val="32"/>
        </w:rPr>
        <w:t>市政务和数据局通过固定资产动态库及资产使用账双重管理，使用地点、使用部门、使用人均比较明确，部门固定资产使用率较高。</w:t>
      </w:r>
    </w:p>
    <w:p>
      <w:pPr>
        <w:pStyle w:val="4"/>
        <w:adjustRightInd w:val="0"/>
        <w:snapToGrid w:val="0"/>
        <w:spacing w:line="560" w:lineRule="exact"/>
        <w:ind w:firstLine="640" w:firstLineChars="200"/>
        <w:rPr>
          <w:sz w:val="32"/>
          <w:szCs w:val="32"/>
        </w:rPr>
      </w:pPr>
      <w:r>
        <w:rPr>
          <w:rFonts w:hint="eastAsia" w:ascii="仿宋_GB2312" w:hAnsi="仿宋_GB2312" w:cs="仿宋_GB2312"/>
          <w:sz w:val="32"/>
          <w:szCs w:val="32"/>
        </w:rPr>
        <w:t>2024</w:t>
      </w:r>
      <w:r>
        <w:rPr>
          <w:rFonts w:hint="eastAsia"/>
          <w:sz w:val="32"/>
          <w:szCs w:val="32"/>
        </w:rPr>
        <w:t>年，为做好机构改革、局机关搬迁和筹备办资产清理划转工作，市政务和数据局加强资产管理工作，及时开展资产清查盘点，盘点范围包括局机关所属资产、六里桥管理处所属资产、筹备办所属资产。共计盘点资产</w:t>
      </w:r>
      <w:r>
        <w:rPr>
          <w:rFonts w:hint="eastAsia" w:ascii="仿宋_GB2312" w:hAnsi="仿宋_GB2312" w:cs="仿宋_GB2312"/>
          <w:sz w:val="32"/>
          <w:szCs w:val="32"/>
        </w:rPr>
        <w:t>1</w:t>
      </w:r>
      <w:r>
        <w:rPr>
          <w:rFonts w:hint="eastAsia"/>
          <w:sz w:val="32"/>
          <w:szCs w:val="32"/>
        </w:rPr>
        <w:t>万余件，为局机关搬迁工作、筹备办资产划转工作、机构改革转隶部门资产划转工作顺利开展奠定了基础。</w:t>
      </w:r>
    </w:p>
    <w:p>
      <w:pPr>
        <w:pStyle w:val="4"/>
        <w:adjustRightInd w:val="0"/>
        <w:snapToGrid w:val="0"/>
        <w:spacing w:line="560" w:lineRule="exact"/>
        <w:ind w:firstLine="640" w:firstLineChars="200"/>
        <w:rPr>
          <w:rFonts w:hint="eastAsia" w:ascii="仿宋_GB2312" w:hAnsi="仿宋_GB2312" w:cs="仿宋_GB2312"/>
          <w:sz w:val="32"/>
          <w:szCs w:val="32"/>
        </w:rPr>
      </w:pPr>
      <w:r>
        <w:rPr>
          <w:rFonts w:hint="eastAsia" w:ascii="仿宋_GB2312" w:hAnsi="仿宋_GB2312" w:cs="仿宋_GB2312"/>
          <w:sz w:val="32"/>
          <w:szCs w:val="32"/>
        </w:rPr>
        <w:t>从资产配置来看，2</w:t>
      </w:r>
      <w:r>
        <w:rPr>
          <w:rFonts w:ascii="仿宋_GB2312" w:hAnsi="仿宋_GB2312" w:cs="仿宋_GB2312"/>
          <w:sz w:val="32"/>
          <w:szCs w:val="32"/>
        </w:rPr>
        <w:t>02</w:t>
      </w:r>
      <w:r>
        <w:rPr>
          <w:rFonts w:hint="eastAsia" w:ascii="仿宋_GB2312" w:hAnsi="仿宋_GB2312" w:cs="仿宋_GB2312"/>
          <w:sz w:val="32"/>
          <w:szCs w:val="32"/>
        </w:rPr>
        <w:t>4年年初市政务和数据局固定资产累计为6,045.13万元（其中折旧值为3,622.24万元），年末累计为29,792.38万元</w:t>
      </w:r>
      <w:r>
        <w:rPr>
          <w:rStyle w:val="21"/>
          <w:rFonts w:hint="eastAsia" w:ascii="仿宋_GB2312" w:hAnsi="仿宋_GB2312" w:cs="仿宋_GB2312"/>
          <w:sz w:val="32"/>
          <w:szCs w:val="32"/>
        </w:rPr>
        <w:footnoteReference w:id="0"/>
      </w:r>
      <w:r>
        <w:rPr>
          <w:rFonts w:hint="eastAsia" w:ascii="仿宋_GB2312" w:hAnsi="仿宋_GB2312" w:cs="仿宋_GB2312"/>
          <w:sz w:val="32"/>
          <w:szCs w:val="32"/>
        </w:rPr>
        <w:t>（其中折旧值为15,499.99万元），资产折旧处置较为规范。经抽取台式机、便携式笔记本、打印机、复印机等资产明细，市政务和数据局实有人均配置未超过《北京市行政事业单位日常办公设备配置标准（试行）》中的上限数量。</w:t>
      </w: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1.绩效目标审核情况</w:t>
      </w:r>
    </w:p>
    <w:p>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市政务和数据局纳入2</w:t>
      </w:r>
      <w:r>
        <w:rPr>
          <w:rFonts w:ascii="仿宋_GB2312" w:eastAsia="仿宋_GB2312"/>
          <w:bCs/>
          <w:sz w:val="32"/>
          <w:szCs w:val="32"/>
        </w:rPr>
        <w:t>02</w:t>
      </w:r>
      <w:r>
        <w:rPr>
          <w:rFonts w:hint="eastAsia" w:ascii="仿宋_GB2312" w:eastAsia="仿宋_GB2312"/>
          <w:bCs/>
          <w:sz w:val="32"/>
          <w:szCs w:val="32"/>
        </w:rPr>
        <w:t>4年度决算的项目均设置了绩效目标，并从指向明确、细化量化、合理可行、相应匹配四个维度对所有项目的绩效目标进行审核，绩效目标审核通过率100%。</w:t>
      </w:r>
    </w:p>
    <w:p>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2</w:t>
      </w:r>
      <w:r>
        <w:rPr>
          <w:rFonts w:hint="eastAsia" w:ascii="仿宋_GB2312" w:eastAsia="仿宋_GB2312"/>
          <w:bCs/>
          <w:sz w:val="32"/>
          <w:szCs w:val="32"/>
        </w:rPr>
        <w:t>.绩效跟踪监控情况</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bCs/>
          <w:sz w:val="32"/>
          <w:szCs w:val="32"/>
        </w:rPr>
        <w:t>根据《北京市财政局关于</w:t>
      </w:r>
      <w:r>
        <w:rPr>
          <w:rFonts w:ascii="仿宋_GB2312" w:eastAsia="仿宋_GB2312"/>
          <w:bCs/>
          <w:sz w:val="32"/>
          <w:szCs w:val="32"/>
        </w:rPr>
        <w:t>2024</w:t>
      </w:r>
      <w:r>
        <w:rPr>
          <w:rFonts w:hint="eastAsia" w:ascii="仿宋_GB2312" w:eastAsia="仿宋_GB2312"/>
          <w:bCs/>
          <w:sz w:val="32"/>
          <w:szCs w:val="32"/>
        </w:rPr>
        <w:t>年推进全面实施预算绩效管理工作的通知》</w:t>
      </w:r>
      <w:r>
        <w:rPr>
          <w:rFonts w:hint="eastAsia" w:ascii="仿宋_GB2312" w:eastAsia="仿宋_GB2312"/>
          <w:sz w:val="32"/>
          <w:szCs w:val="32"/>
        </w:rPr>
        <w:t>中关于“绩效目标执行监控工作”的有关要求</w:t>
      </w:r>
      <w:r>
        <w:rPr>
          <w:rFonts w:hint="eastAsia" w:ascii="仿宋_GB2312" w:eastAsia="仿宋_GB2312"/>
          <w:bCs/>
          <w:sz w:val="32"/>
          <w:szCs w:val="32"/>
        </w:rPr>
        <w:t>，2</w:t>
      </w:r>
      <w:r>
        <w:rPr>
          <w:rFonts w:ascii="仿宋_GB2312" w:eastAsia="仿宋_GB2312"/>
          <w:bCs/>
          <w:sz w:val="32"/>
          <w:szCs w:val="32"/>
        </w:rPr>
        <w:t>02</w:t>
      </w:r>
      <w:r>
        <w:rPr>
          <w:rFonts w:hint="eastAsia" w:ascii="仿宋_GB2312" w:eastAsia="仿宋_GB2312"/>
          <w:bCs/>
          <w:sz w:val="32"/>
          <w:szCs w:val="32"/>
        </w:rPr>
        <w:t>4年8月，市政务和数据局</w:t>
      </w:r>
      <w:r>
        <w:rPr>
          <w:rFonts w:hint="eastAsia" w:ascii="仿宋_GB2312" w:eastAsia="仿宋_GB2312"/>
          <w:sz w:val="32"/>
          <w:szCs w:val="32"/>
        </w:rPr>
        <w:t>针对当年批复的项目、上年结转的所有项目进行了半年绩效跟踪监控，绩效监控覆盖率1</w:t>
      </w:r>
      <w:r>
        <w:rPr>
          <w:rFonts w:ascii="仿宋_GB2312" w:eastAsia="仿宋_GB2312"/>
          <w:sz w:val="32"/>
          <w:szCs w:val="32"/>
        </w:rPr>
        <w:t>00</w:t>
      </w:r>
      <w:r>
        <w:rPr>
          <w:rFonts w:hint="eastAsia" w:ascii="仿宋_GB2312" w:eastAsia="仿宋_GB2312"/>
          <w:sz w:val="32"/>
          <w:szCs w:val="32"/>
        </w:rPr>
        <w:t>%。</w:t>
      </w:r>
    </w:p>
    <w:p>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3</w:t>
      </w:r>
      <w:r>
        <w:rPr>
          <w:rFonts w:hint="eastAsia" w:ascii="仿宋_GB2312" w:eastAsia="仿宋_GB2312"/>
          <w:bCs/>
          <w:sz w:val="32"/>
          <w:szCs w:val="32"/>
        </w:rPr>
        <w:t>.绩效自评覆盖情况</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eastAsia="仿宋_GB2312"/>
          <w:bCs/>
          <w:sz w:val="32"/>
          <w:szCs w:val="32"/>
        </w:rPr>
        <w:t>依据《北京市财政局关于2025年预算绩效管理工作的通知》等文件要求，对市政务和数据局2024年所有填报绩效目标的项目开展了绩效自评及部门整体支出绩效评价，绩效自评覆盖</w:t>
      </w:r>
      <w:r>
        <w:rPr>
          <w:rFonts w:hint="eastAsia" w:ascii="仿宋_GB2312" w:hAnsi="仿宋_GB2312" w:eastAsia="仿宋_GB2312" w:cs="仿宋_GB2312"/>
          <w:sz w:val="32"/>
          <w:szCs w:val="32"/>
        </w:rPr>
        <w:t>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仿宋_GB2312" w:eastAsia="仿宋_GB2312"/>
          <w:b/>
          <w:bCs/>
          <w:sz w:val="32"/>
          <w:szCs w:val="32"/>
        </w:rPr>
      </w:pPr>
      <w:r>
        <w:rPr>
          <w:rFonts w:hint="eastAsia" w:ascii="仿宋_GB2312" w:hAnsi="仿宋_GB2312" w:eastAsia="仿宋_GB2312" w:cs="仿宋_GB2312"/>
          <w:sz w:val="32"/>
          <w:szCs w:val="32"/>
        </w:rPr>
        <w:t>2024年度选取社会数据统采共用项目作为重点支出绩效评价项目，对该项目从决策、过程、产出、效益四个维度进行评价，得分90.20分，评价等级为“优”。</w:t>
      </w:r>
    </w:p>
    <w:p>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4</w:t>
      </w:r>
      <w:r>
        <w:rPr>
          <w:rFonts w:hint="eastAsia" w:ascii="仿宋_GB2312" w:eastAsia="仿宋_GB2312"/>
          <w:bCs/>
          <w:sz w:val="32"/>
          <w:szCs w:val="32"/>
        </w:rPr>
        <w:t>.成本预算绩效情况</w:t>
      </w:r>
    </w:p>
    <w:p>
      <w:pPr>
        <w:adjustRightInd w:val="0"/>
        <w:snapToGrid w:val="0"/>
        <w:spacing w:line="560" w:lineRule="exact"/>
        <w:ind w:firstLine="640" w:firstLineChars="200"/>
        <w:rPr>
          <w:rFonts w:hint="eastAsia" w:ascii="仿宋_GB2312" w:hAnsi="宋体" w:eastAsia="仿宋_GB2312" w:cs="宋体"/>
          <w:kern w:val="0"/>
          <w:sz w:val="32"/>
          <w:szCs w:val="32"/>
        </w:rPr>
      </w:pPr>
      <w:r>
        <w:rPr>
          <w:rFonts w:hint="eastAsia" w:ascii="仿宋_GB2312" w:eastAsia="仿宋_GB2312"/>
          <w:bCs/>
          <w:sz w:val="32"/>
          <w:szCs w:val="32"/>
        </w:rPr>
        <w:t>根据《北京市财政局关于2025年预算绩效管理工作的通知》</w:t>
      </w:r>
      <w:r>
        <w:rPr>
          <w:rFonts w:hint="eastAsia" w:ascii="仿宋_GB2312" w:eastAsia="仿宋_GB2312"/>
          <w:sz w:val="32"/>
          <w:szCs w:val="32"/>
        </w:rPr>
        <w:t>中“继续开展成本预算绩效分析工作”</w:t>
      </w:r>
      <w:r>
        <w:rPr>
          <w:rFonts w:hint="eastAsia" w:ascii="仿宋_GB2312" w:eastAsia="仿宋_GB2312"/>
          <w:bCs/>
          <w:sz w:val="32"/>
          <w:szCs w:val="32"/>
        </w:rPr>
        <w:t>的要求，</w:t>
      </w:r>
      <w:r>
        <w:rPr>
          <w:rFonts w:ascii="仿宋_GB2312" w:eastAsia="仿宋_GB2312"/>
          <w:bCs/>
          <w:sz w:val="32"/>
          <w:szCs w:val="32"/>
        </w:rPr>
        <w:t>202</w:t>
      </w:r>
      <w:r>
        <w:rPr>
          <w:rFonts w:hint="eastAsia" w:ascii="仿宋_GB2312" w:eastAsia="仿宋_GB2312"/>
          <w:bCs/>
          <w:sz w:val="32"/>
          <w:szCs w:val="32"/>
        </w:rPr>
        <w:t>4年度市政务和数据局对全市政府网站和政务新媒体建设管理考核评估服务开展了成本预算绩效分析，</w:t>
      </w:r>
      <w:r>
        <w:rPr>
          <w:rFonts w:hint="eastAsia" w:ascii="仿宋_GB2312" w:hAnsi="仿宋_GB2312" w:eastAsia="仿宋_GB2312" w:cs="仿宋_GB2312"/>
          <w:sz w:val="32"/>
          <w:szCs w:val="32"/>
        </w:rPr>
        <w:t>形成了《北京市政务服务和数据管理局2024年度全市政府网站和政务新媒体建设管理考核评估服务项目成本绩效分析报告》《支出定额标准表》。此次成本绩效分析工作由项目单位结合当年实际需求确定检查/监测/评估次数，形成了项目成本的动态调整机制。</w:t>
      </w:r>
      <w:r>
        <w:rPr>
          <w:rFonts w:hint="eastAsia" w:ascii="仿宋_GB2312" w:eastAsia="仿宋_GB2312" w:hAnsiTheme="minorHAnsi" w:cstheme="minorBidi"/>
          <w:sz w:val="32"/>
        </w:rPr>
        <w:t>同时，从整体布局及长期发展方面提出了前瞻性、可操作性建议</w:t>
      </w:r>
      <w:r>
        <w:rPr>
          <w:rFonts w:hint="eastAsia" w:ascii="仿宋_GB2312" w:hAnsi="宋体" w:eastAsia="仿宋_GB2312" w:cs="宋体"/>
          <w:kern w:val="0"/>
          <w:sz w:val="32"/>
          <w:szCs w:val="32"/>
        </w:rPr>
        <w:t>。该项工作形成的定额标准已应用于2025年度预算编报，该项目成本分析报告有幸获评为市财政局2024年度优秀案例之一。</w:t>
      </w: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（四）结转结余率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基于《北京市机构改革方案》及市政务和数据局三定职责变化，2024年度机构改革转隶划转经费下达时间较晚，考虑到跨年合同未验收、支付款项存在一定风险，为有效保障资金使用安全，当年划转经费未能全部支出。相较于上一年度结转结余率4.25</w:t>
      </w:r>
      <w:r>
        <w:rPr>
          <w:rFonts w:ascii="仿宋_GB2312" w:eastAsia="仿宋_GB2312"/>
          <w:sz w:val="32"/>
          <w:szCs w:val="32"/>
        </w:rPr>
        <w:t>%</w:t>
      </w:r>
      <w:r>
        <w:rPr>
          <w:rFonts w:hint="eastAsia" w:ascii="仿宋_GB2312" w:eastAsia="仿宋_GB2312"/>
          <w:sz w:val="32"/>
          <w:szCs w:val="32"/>
        </w:rPr>
        <w:t>高5.77个百分点，资金总体控制情况</w:t>
      </w:r>
      <w:r>
        <w:rPr>
          <w:rFonts w:ascii="仿宋_GB2312" w:eastAsia="仿宋_GB2312"/>
          <w:sz w:val="32"/>
          <w:szCs w:val="32"/>
        </w:rPr>
        <w:t>有待</w:t>
      </w:r>
      <w:r>
        <w:rPr>
          <w:rFonts w:hint="eastAsia" w:ascii="仿宋_GB2312" w:eastAsia="仿宋_GB2312"/>
          <w:sz w:val="32"/>
          <w:szCs w:val="32"/>
        </w:rPr>
        <w:t>进一步</w:t>
      </w:r>
      <w:r>
        <w:rPr>
          <w:rFonts w:ascii="仿宋_GB2312" w:eastAsia="仿宋_GB2312"/>
          <w:sz w:val="32"/>
          <w:szCs w:val="32"/>
        </w:rPr>
        <w:t>加强</w:t>
      </w:r>
      <w:r>
        <w:rPr>
          <w:rFonts w:hint="eastAsia" w:ascii="仿宋_GB2312" w:eastAsia="仿宋_GB2312"/>
          <w:sz w:val="32"/>
          <w:szCs w:val="32"/>
        </w:rPr>
        <w:t>。</w:t>
      </w:r>
    </w:p>
    <w:p>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受机构改革划转经费影响，2024年市政务和数据局部门预决算差异率为31.29</w:t>
      </w:r>
      <w:r>
        <w:rPr>
          <w:rFonts w:ascii="仿宋_GB2312" w:eastAsia="仿宋_GB2312"/>
          <w:sz w:val="32"/>
          <w:szCs w:val="32"/>
        </w:rPr>
        <w:t>%</w:t>
      </w:r>
      <w:r>
        <w:rPr>
          <w:rFonts w:hint="eastAsia" w:ascii="仿宋_GB2312" w:eastAsia="仿宋_GB2312"/>
          <w:sz w:val="32"/>
          <w:szCs w:val="32"/>
        </w:rPr>
        <w:t>，与上年度相比，上涨了5.22个百分点</w:t>
      </w:r>
      <w:r>
        <w:rPr>
          <w:rFonts w:hint="eastAsia" w:ascii="仿宋_GB2312" w:eastAsia="仿宋_GB2312"/>
          <w:sz w:val="32"/>
          <w:szCs w:val="32"/>
          <w:lang w:eastAsia="zh-CN"/>
        </w:rPr>
        <w:t>。</w:t>
      </w:r>
    </w:p>
    <w:bookmarkEnd w:id="1"/>
    <w:bookmarkEnd w:id="2"/>
    <w:p>
      <w:pPr>
        <w:adjustRightInd w:val="0"/>
        <w:snapToGrid w:val="0"/>
        <w:spacing w:line="560" w:lineRule="exact"/>
        <w:ind w:firstLine="640" w:firstLineChars="200"/>
        <w:outlineLvl w:val="0"/>
        <w:rPr>
          <w:rFonts w:hint="eastAsia" w:ascii="黑体" w:hAnsi="宋体" w:eastAsia="黑体" w:cs="宋体"/>
          <w:kern w:val="0"/>
          <w:sz w:val="32"/>
          <w:szCs w:val="32"/>
        </w:rPr>
      </w:pPr>
      <w:r>
        <w:rPr>
          <w:rFonts w:hint="eastAsia" w:ascii="黑体" w:hAnsi="宋体" w:eastAsia="黑体" w:cs="宋体"/>
          <w:kern w:val="0"/>
          <w:sz w:val="32"/>
          <w:szCs w:val="32"/>
          <w:lang w:bidi="ar"/>
        </w:rPr>
        <w:t>五、总体评价结论</w:t>
      </w:r>
    </w:p>
    <w:p>
      <w:pPr>
        <w:adjustRightInd w:val="0"/>
        <w:snapToGrid w:val="0"/>
        <w:spacing w:line="560" w:lineRule="exact"/>
        <w:ind w:firstLine="640" w:firstLineChars="200"/>
        <w:outlineLvl w:val="1"/>
        <w:rPr>
          <w:rFonts w:ascii="楷体_GB2312" w:eastAsia="楷体_GB2312" w:cs="楷体_GB2312"/>
          <w:sz w:val="32"/>
          <w:szCs w:val="32"/>
        </w:rPr>
      </w:pPr>
      <w:r>
        <w:rPr>
          <w:rFonts w:hint="eastAsia" w:ascii="楷体_GB2312" w:eastAsia="楷体_GB2312" w:cs="楷体_GB2312"/>
          <w:sz w:val="32"/>
          <w:szCs w:val="32"/>
          <w:lang w:bidi="ar"/>
        </w:rPr>
        <w:t>（一）评价得分情况</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lang w:bidi="ar"/>
        </w:rPr>
        <w:t>2024年度，市政务和数据局部门整体支出综合绩效评价等级为“良”，评价得分91.34分，得分率91.34%（见表3）。</w:t>
      </w:r>
    </w:p>
    <w:p>
      <w:pPr>
        <w:adjustRightInd w:val="0"/>
        <w:snapToGrid w:val="0"/>
        <w:spacing w:line="560" w:lineRule="exact"/>
        <w:ind w:firstLine="560" w:firstLineChars="200"/>
        <w:jc w:val="center"/>
        <w:rPr>
          <w:rFonts w:hint="eastAsia" w:ascii="黑体" w:hAnsi="宋体" w:eastAsia="黑体" w:cs="黑体"/>
          <w:sz w:val="24"/>
          <w:szCs w:val="32"/>
        </w:rPr>
      </w:pPr>
      <w:r>
        <w:rPr>
          <w:rFonts w:hint="eastAsia" w:ascii="黑体" w:hAnsi="宋体" w:eastAsia="黑体" w:cs="黑体"/>
          <w:sz w:val="28"/>
          <w:szCs w:val="28"/>
          <w:lang w:bidi="ar"/>
        </w:rPr>
        <w:t>表3：综合评价得分情况表</w:t>
      </w:r>
    </w:p>
    <w:tbl>
      <w:tblPr>
        <w:tblStyle w:val="15"/>
        <w:tblW w:w="51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050"/>
        <w:gridCol w:w="1220"/>
        <w:gridCol w:w="3582"/>
        <w:gridCol w:w="721"/>
        <w:gridCol w:w="1266"/>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tblHeader/>
          <w:jc w:val="center"/>
        </w:trPr>
        <w:tc>
          <w:tcPr>
            <w:tcW w:w="57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一级指标</w:t>
            </w:r>
          </w:p>
        </w:tc>
        <w:tc>
          <w:tcPr>
            <w:tcW w:w="66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二级指标</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三级指标</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分值</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得分</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lang w:bidi="ar"/>
              </w:rPr>
            </w:pPr>
            <w:r>
              <w:rPr>
                <w:rFonts w:hint="eastAsia" w:ascii="宋体" w:hAnsi="宋体" w:cs="宋体"/>
                <w:kern w:val="0"/>
                <w:sz w:val="20"/>
                <w:szCs w:val="20"/>
                <w:lang w:bidi="ar"/>
              </w:rPr>
              <w:t>当年预算执行情况</w:t>
            </w:r>
          </w:p>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（20分）</w:t>
            </w:r>
          </w:p>
        </w:tc>
        <w:tc>
          <w:tcPr>
            <w:tcW w:w="66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预算执行率（20分）</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预算执行率</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20</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18.96</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56" w:hRule="atLeast"/>
          <w:jc w:val="center"/>
        </w:trPr>
        <w:tc>
          <w:tcPr>
            <w:tcW w:w="570" w:type="pct"/>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 w:val="20"/>
                <w:szCs w:val="20"/>
              </w:rPr>
            </w:pPr>
          </w:p>
        </w:tc>
        <w:tc>
          <w:tcPr>
            <w:tcW w:w="2606" w:type="pct"/>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小计</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20</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18.96</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94.80%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9" w:hRule="atLeast"/>
          <w:jc w:val="center"/>
        </w:trPr>
        <w:tc>
          <w:tcPr>
            <w:tcW w:w="570"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整体绩效目标实现情况</w:t>
            </w:r>
          </w:p>
          <w:p>
            <w:pPr>
              <w:widowControl/>
              <w:adjustRightInd w:val="0"/>
              <w:snapToGrid w:val="0"/>
              <w:jc w:val="center"/>
              <w:rPr>
                <w:rFonts w:ascii="Calibri" w:hAnsi="Calibri"/>
                <w:sz w:val="20"/>
                <w:szCs w:val="20"/>
              </w:rPr>
            </w:pPr>
            <w:r>
              <w:rPr>
                <w:rFonts w:hint="eastAsia" w:ascii="宋体" w:hAnsi="宋体" w:cs="宋体"/>
                <w:kern w:val="0"/>
                <w:sz w:val="20"/>
                <w:szCs w:val="20"/>
                <w:lang w:bidi="ar"/>
              </w:rPr>
              <w:t>（60分）</w:t>
            </w:r>
          </w:p>
        </w:tc>
        <w:tc>
          <w:tcPr>
            <w:tcW w:w="662"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产出</w:t>
            </w:r>
          </w:p>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（30分）</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部门年度产出数量情况</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10</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8.80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部门年度产出质量情况</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7</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6.50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79"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部门年度产出进度情况</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8</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6.80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5"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部门年度产出成本情况</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5</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4.50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jc w:val="center"/>
              <w:rPr>
                <w:rFonts w:ascii="Calibri" w:hAnsi="Calibri"/>
                <w:sz w:val="20"/>
                <w:szCs w:val="20"/>
              </w:rPr>
            </w:pPr>
          </w:p>
        </w:tc>
        <w:tc>
          <w:tcPr>
            <w:tcW w:w="662"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效果</w:t>
            </w:r>
          </w:p>
          <w:p>
            <w:pPr>
              <w:widowControl/>
              <w:adjustRightInd w:val="0"/>
              <w:snapToGrid w:val="0"/>
              <w:jc w:val="center"/>
              <w:rPr>
                <w:rFonts w:hint="eastAsia" w:ascii="宋体" w:hAnsi="宋体" w:cs="宋体"/>
                <w:kern w:val="0"/>
                <w:sz w:val="20"/>
                <w:szCs w:val="20"/>
                <w:lang w:bidi="ar"/>
              </w:rPr>
            </w:pPr>
            <w:r>
              <w:rPr>
                <w:rFonts w:hint="eastAsia" w:ascii="宋体" w:hAnsi="宋体" w:cs="宋体"/>
                <w:kern w:val="0"/>
                <w:sz w:val="20"/>
                <w:szCs w:val="20"/>
                <w:lang w:bidi="ar"/>
              </w:rPr>
              <w:t>（30分）</w:t>
            </w:r>
          </w:p>
          <w:p>
            <w:pPr>
              <w:jc w:val="cente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圆满完成机构改革任务</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2</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1.90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left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顺利完成搬迁副中心</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2</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1.90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jc w:val="center"/>
              <w:rPr>
                <w:rFonts w:ascii="Calibri" w:hAnsi="Calibri"/>
                <w:sz w:val="20"/>
                <w:szCs w:val="20"/>
              </w:rPr>
            </w:pPr>
          </w:p>
        </w:tc>
        <w:tc>
          <w:tcPr>
            <w:tcW w:w="662" w:type="pct"/>
            <w:vMerge w:val="continue"/>
            <w:tcBorders>
              <w:left w:val="single" w:color="auto" w:sz="4" w:space="0"/>
              <w:right w:val="single" w:color="auto" w:sz="4" w:space="0"/>
            </w:tcBorders>
            <w:vAlign w:val="center"/>
          </w:tcPr>
          <w:p>
            <w:pPr>
              <w:jc w:val="cente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市政务服务中心和热线新职场实现整体提升</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2</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1.90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86"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left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成功举办2024北京接诉即办改革论坛</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jc w:val="center"/>
              <w:rPr>
                <w:rFonts w:ascii="Calibri" w:hAnsi="Calibri"/>
                <w:sz w:val="20"/>
                <w:szCs w:val="20"/>
              </w:rPr>
            </w:pPr>
          </w:p>
        </w:tc>
        <w:tc>
          <w:tcPr>
            <w:tcW w:w="662" w:type="pct"/>
            <w:vMerge w:val="continue"/>
            <w:tcBorders>
              <w:left w:val="single" w:color="auto" w:sz="4" w:space="0"/>
              <w:right w:val="single" w:color="auto" w:sz="4" w:space="0"/>
            </w:tcBorders>
            <w:vAlign w:val="center"/>
          </w:tcPr>
          <w:p>
            <w:pPr>
              <w:jc w:val="cente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接诉即办改革持续深化</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left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政务服务改革成效明显</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adjustRightInd w:val="0"/>
              <w:snapToGrid w:val="0"/>
              <w:jc w:val="center"/>
              <w:rPr>
                <w:rFonts w:hint="eastAsia" w:ascii="宋体" w:hAnsi="宋体" w:cs="宋体"/>
                <w:kern w:val="0"/>
                <w:sz w:val="20"/>
                <w:szCs w:val="20"/>
              </w:rPr>
            </w:pPr>
          </w:p>
        </w:tc>
        <w:tc>
          <w:tcPr>
            <w:tcW w:w="662" w:type="pct"/>
            <w:vMerge w:val="continue"/>
            <w:tcBorders>
              <w:left w:val="single" w:color="auto" w:sz="4" w:space="0"/>
              <w:right w:val="single" w:color="auto" w:sz="4" w:space="0"/>
            </w:tcBorders>
            <w:vAlign w:val="center"/>
          </w:tcPr>
          <w:p>
            <w:pPr>
              <w:adjustRightInd w:val="0"/>
              <w:snapToGrid w:val="0"/>
              <w:jc w:val="center"/>
              <w:rPr>
                <w:rFonts w:hint="eastAsia" w:ascii="宋体" w:hAnsi="宋体" w:cs="宋体"/>
                <w:kern w:val="0"/>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智慧城市建设加速推进</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left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数据管理取得新突破</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left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sz w:val="20"/>
                <w:szCs w:val="20"/>
                <w:lang w:bidi="ar"/>
              </w:rPr>
            </w:pPr>
            <w:r>
              <w:rPr>
                <w:rFonts w:hint="eastAsia" w:ascii="宋体" w:hAnsi="宋体" w:cs="宋体"/>
                <w:kern w:val="0"/>
                <w:sz w:val="20"/>
                <w:szCs w:val="20"/>
                <w:lang w:bidi="ar"/>
              </w:rPr>
              <w:t>政策服务和政务公开不断优化</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lang w:bidi="ar"/>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left w:val="single" w:color="auto" w:sz="4" w:space="0"/>
              <w:right w:val="single" w:color="auto" w:sz="4" w:space="0"/>
            </w:tcBorders>
            <w:vAlign w:val="center"/>
          </w:tcPr>
          <w:p>
            <w:pPr>
              <w:jc w:val="center"/>
              <w:rPr>
                <w:rFonts w:hint="eastAsia" w:ascii="Calibri" w:hAnsi="Calibri" w:eastAsia="宋体"/>
                <w:sz w:val="20"/>
                <w:szCs w:val="20"/>
                <w:lang w:val="en-US" w:eastAsia="zh-CN"/>
              </w:rPr>
            </w:pPr>
            <w:r>
              <w:rPr>
                <w:rFonts w:hint="eastAsia" w:ascii="Calibri" w:hAnsi="Calibri"/>
                <w:sz w:val="20"/>
                <w:szCs w:val="20"/>
                <w:lang w:val="en-US" w:eastAsia="zh-CN"/>
              </w:rPr>
              <w:t>续上页</w:t>
            </w:r>
          </w:p>
        </w:tc>
        <w:tc>
          <w:tcPr>
            <w:tcW w:w="662" w:type="pct"/>
            <w:vMerge w:val="restart"/>
            <w:tcBorders>
              <w:left w:val="single" w:color="auto" w:sz="4" w:space="0"/>
              <w:right w:val="single" w:color="auto" w:sz="4" w:space="0"/>
            </w:tcBorders>
            <w:vAlign w:val="center"/>
          </w:tcPr>
          <w:p>
            <w:pPr>
              <w:jc w:val="center"/>
              <w:rPr>
                <w:rFonts w:hint="eastAsia" w:ascii="Calibri" w:hAnsi="Calibri" w:eastAsia="宋体"/>
                <w:sz w:val="20"/>
                <w:szCs w:val="20"/>
                <w:lang w:val="en-US" w:eastAsia="zh-CN"/>
              </w:rPr>
            </w:pPr>
            <w:r>
              <w:rPr>
                <w:rFonts w:hint="eastAsia" w:ascii="Calibri" w:hAnsi="Calibri"/>
                <w:sz w:val="20"/>
                <w:szCs w:val="20"/>
                <w:lang w:val="en-US" w:eastAsia="zh-CN"/>
              </w:rPr>
              <w:t>续上页</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sz w:val="20"/>
                <w:szCs w:val="20"/>
                <w:lang w:bidi="ar"/>
              </w:rPr>
            </w:pPr>
            <w:r>
              <w:rPr>
                <w:rFonts w:hint="eastAsia" w:ascii="宋体" w:hAnsi="宋体" w:cs="宋体"/>
                <w:kern w:val="0"/>
                <w:sz w:val="20"/>
                <w:szCs w:val="20"/>
                <w:lang w:bidi="ar"/>
              </w:rPr>
              <w:t>京津冀政务服务协同发展统筹推进</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lang w:bidi="ar"/>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11"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left w:val="single" w:color="auto" w:sz="4" w:space="0"/>
              <w:bottom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cs="宋体"/>
                <w:sz w:val="20"/>
                <w:szCs w:val="20"/>
                <w:lang w:bidi="ar"/>
              </w:rPr>
            </w:pPr>
            <w:r>
              <w:rPr>
                <w:rFonts w:hint="eastAsia" w:ascii="宋体" w:hAnsi="宋体" w:cs="宋体"/>
                <w:kern w:val="0"/>
                <w:sz w:val="20"/>
                <w:szCs w:val="20"/>
                <w:lang w:bidi="ar"/>
              </w:rPr>
              <w:t>城市国际化服务水平持续提升</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lang w:bidi="ar"/>
              </w:rPr>
            </w:pPr>
            <w:r>
              <w:rPr>
                <w:rFonts w:hint="eastAsia" w:ascii="宋体" w:hAnsi="宋体" w:cs="宋体"/>
                <w:kern w:val="0"/>
                <w:sz w:val="20"/>
                <w:szCs w:val="20"/>
                <w:lang w:bidi="ar"/>
              </w:rPr>
              <w:t>3</w:t>
            </w:r>
          </w:p>
        </w:tc>
        <w:tc>
          <w:tcPr>
            <w:tcW w:w="687"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lang w:bidi="ar"/>
              </w:rPr>
            </w:pPr>
            <w:r>
              <w:rPr>
                <w:rFonts w:hint="eastAsia" w:ascii="宋体" w:hAnsi="宋体" w:cs="宋体"/>
                <w:kern w:val="0"/>
                <w:sz w:val="20"/>
                <w:szCs w:val="20"/>
                <w:lang w:bidi="ar"/>
              </w:rPr>
              <w:t>2.85</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lang w:bidi="ar"/>
              </w:rPr>
            </w:pPr>
            <w:r>
              <w:rPr>
                <w:rFonts w:hint="eastAsia" w:ascii="宋体" w:hAnsi="宋体" w:cs="宋体"/>
                <w:kern w:val="0"/>
                <w:sz w:val="20"/>
                <w:szCs w:val="20"/>
                <w:lang w:bidi="ar"/>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tcBorders>
              <w:left w:val="single" w:color="auto" w:sz="4" w:space="0"/>
              <w:bottom w:val="single" w:color="auto" w:sz="4" w:space="0"/>
              <w:right w:val="single" w:color="auto" w:sz="4" w:space="0"/>
            </w:tcBorders>
            <w:vAlign w:val="center"/>
          </w:tcPr>
          <w:p>
            <w:pPr>
              <w:rPr>
                <w:rFonts w:ascii="Calibri" w:hAnsi="Calibri"/>
                <w:sz w:val="20"/>
                <w:szCs w:val="20"/>
              </w:rPr>
            </w:pPr>
          </w:p>
        </w:tc>
        <w:tc>
          <w:tcPr>
            <w:tcW w:w="2606" w:type="pct"/>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小计</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60</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55.1</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91.83%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预算管理情况</w:t>
            </w:r>
          </w:p>
          <w:p>
            <w:pPr>
              <w:jc w:val="center"/>
              <w:rPr>
                <w:rFonts w:ascii="Calibri" w:hAnsi="Calibri"/>
                <w:sz w:val="20"/>
                <w:szCs w:val="20"/>
              </w:rPr>
            </w:pPr>
            <w:r>
              <w:rPr>
                <w:rFonts w:hint="eastAsia" w:ascii="宋体" w:hAnsi="宋体" w:cs="宋体"/>
                <w:kern w:val="0"/>
                <w:sz w:val="20"/>
                <w:szCs w:val="20"/>
                <w:lang w:bidi="ar"/>
              </w:rPr>
              <w:t>（20分）</w:t>
            </w:r>
          </w:p>
        </w:tc>
        <w:tc>
          <w:tcPr>
            <w:tcW w:w="662"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财务管理</w:t>
            </w:r>
          </w:p>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（4分）</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财务管理制度健全性</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0.80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资金使用合规性和安全性</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2</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2.00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 w:val="20"/>
                <w:szCs w:val="20"/>
              </w:rPr>
            </w:pP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会计基础信息完善性</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1.00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资产管理</w:t>
            </w:r>
          </w:p>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（4分）</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资产管理规范性</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4.00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3"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绩效管理</w:t>
            </w:r>
          </w:p>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（4分）</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绩效管理情况</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4.00</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jc w:val="center"/>
              <w:rPr>
                <w:rFonts w:ascii="Calibri" w:hAnsi="Calibri"/>
                <w:sz w:val="20"/>
                <w:szCs w:val="20"/>
              </w:rPr>
            </w:pPr>
          </w:p>
        </w:tc>
        <w:tc>
          <w:tcPr>
            <w:tcW w:w="66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结转结余率（4分）</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结转结余率</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1.69</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vAlign w:val="center"/>
          </w:tcPr>
          <w:p>
            <w:pPr>
              <w:rPr>
                <w:rFonts w:ascii="Calibri" w:hAnsi="Calibri"/>
                <w:sz w:val="20"/>
                <w:szCs w:val="20"/>
              </w:rPr>
            </w:pPr>
          </w:p>
        </w:tc>
        <w:tc>
          <w:tcPr>
            <w:tcW w:w="66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部门预决算差异率</w:t>
            </w:r>
          </w:p>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（4分）</w:t>
            </w:r>
          </w:p>
        </w:tc>
        <w:tc>
          <w:tcPr>
            <w:tcW w:w="19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部门预决算差异率</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4</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rPr>
              <w:t>3.79</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kern w:val="0"/>
                <w:sz w:val="20"/>
                <w:szCs w:val="20"/>
              </w:rPr>
            </w:pPr>
            <w:r>
              <w:rPr>
                <w:rFonts w:hint="eastAsia" w:ascii="宋体" w:hAnsi="宋体" w:cs="宋体"/>
                <w:kern w:val="0"/>
                <w:sz w:val="20"/>
                <w:szCs w:val="20"/>
                <w:lang w:bidi="ar"/>
              </w:rPr>
              <w:t>94.75%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bottom w:val="single" w:color="auto" w:sz="4" w:space="0"/>
              <w:right w:val="single" w:color="auto" w:sz="4" w:space="0"/>
            </w:tcBorders>
            <w:vAlign w:val="center"/>
          </w:tcPr>
          <w:p>
            <w:pPr>
              <w:rPr>
                <w:rFonts w:ascii="Calibri" w:hAnsi="Calibri"/>
                <w:sz w:val="20"/>
                <w:szCs w:val="20"/>
              </w:rPr>
            </w:pPr>
          </w:p>
        </w:tc>
        <w:tc>
          <w:tcPr>
            <w:tcW w:w="2606" w:type="pct"/>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小计</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20</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17.28</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86.40%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3176" w:type="pct"/>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合　计</w:t>
            </w:r>
          </w:p>
        </w:tc>
        <w:tc>
          <w:tcPr>
            <w:tcW w:w="39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100</w:t>
            </w:r>
          </w:p>
        </w:tc>
        <w:tc>
          <w:tcPr>
            <w:tcW w:w="6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91.34</w:t>
            </w:r>
          </w:p>
        </w:tc>
        <w:tc>
          <w:tcPr>
            <w:tcW w:w="74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lang w:bidi="ar"/>
              </w:rPr>
              <w:t>91.34%</w:t>
            </w:r>
          </w:p>
        </w:tc>
      </w:tr>
    </w:tbl>
    <w:p>
      <w:pPr>
        <w:adjustRightInd w:val="0"/>
        <w:snapToGrid w:val="0"/>
        <w:spacing w:line="360" w:lineRule="auto"/>
        <w:ind w:firstLine="420" w:firstLineChars="200"/>
      </w:pPr>
    </w:p>
    <w:p>
      <w:pPr>
        <w:adjustRightInd w:val="0"/>
        <w:snapToGrid w:val="0"/>
        <w:spacing w:line="560" w:lineRule="exact"/>
        <w:ind w:firstLine="640" w:firstLineChars="200"/>
        <w:outlineLvl w:val="1"/>
        <w:rPr>
          <w:rFonts w:ascii="楷体_GB2312" w:eastAsia="楷体_GB2312" w:cs="楷体_GB2312"/>
          <w:sz w:val="32"/>
          <w:szCs w:val="32"/>
        </w:rPr>
      </w:pPr>
      <w:bookmarkStart w:id="7" w:name="_Toc4358"/>
      <w:bookmarkStart w:id="8" w:name="_Toc12363"/>
      <w:r>
        <w:rPr>
          <w:rFonts w:hint="eastAsia" w:ascii="楷体_GB2312" w:eastAsia="楷体_GB2312" w:cs="楷体_GB2312"/>
          <w:sz w:val="32"/>
          <w:szCs w:val="32"/>
        </w:rPr>
        <w:t>（二）存在的问题及原因分析</w:t>
      </w:r>
      <w:bookmarkEnd w:id="7"/>
      <w:bookmarkEnd w:id="8"/>
    </w:p>
    <w:p>
      <w:pPr>
        <w:adjustRightInd w:val="0"/>
        <w:snapToGrid w:val="0"/>
        <w:spacing w:line="560" w:lineRule="exact"/>
        <w:ind w:firstLine="640" w:firstLineChars="200"/>
        <w:outlineLvl w:val="2"/>
        <w:rPr>
          <w:rFonts w:ascii="仿宋_GB2312" w:eastAsia="仿宋_GB2312" w:cs="仿宋_GB2312"/>
          <w:bCs/>
          <w:sz w:val="32"/>
          <w:szCs w:val="32"/>
          <w:lang w:bidi="ar"/>
        </w:rPr>
      </w:pPr>
      <w:r>
        <w:rPr>
          <w:rFonts w:hint="eastAsia" w:ascii="仿宋_GB2312" w:eastAsia="仿宋_GB2312" w:cs="仿宋_GB2312"/>
          <w:bCs/>
          <w:sz w:val="32"/>
          <w:szCs w:val="32"/>
          <w:lang w:bidi="ar"/>
        </w:rPr>
        <w:t>1.机构改革后划转及调整追加经费下达时间较晚，对项目执行及部门管理形成较大挑战</w:t>
      </w:r>
    </w:p>
    <w:p>
      <w:pPr>
        <w:adjustRightInd w:val="0"/>
        <w:snapToGrid w:val="0"/>
        <w:spacing w:line="560" w:lineRule="exact"/>
        <w:ind w:firstLine="640" w:firstLineChars="200"/>
        <w:rPr>
          <w:rFonts w:ascii="仿宋_GB2312" w:eastAsia="仿宋_GB2312" w:cs="仿宋_GB2312"/>
          <w:bCs/>
          <w:sz w:val="32"/>
          <w:szCs w:val="32"/>
          <w:lang w:bidi="ar"/>
        </w:rPr>
      </w:pPr>
      <w:r>
        <w:rPr>
          <w:rFonts w:hint="eastAsia" w:ascii="仿宋_GB2312" w:eastAsia="仿宋_GB2312" w:cs="仿宋_GB2312"/>
          <w:bCs/>
          <w:sz w:val="32"/>
          <w:szCs w:val="32"/>
          <w:lang w:bidi="ar"/>
        </w:rPr>
        <w:t>依据《北京市机构改革方案》及三定职能职责调整，机构改革后由于后划转及调整追加经费下达时间较晚，对项目执行及部门管理均形成较大挑战。一是市大数据中心机构改革前，项目主要通过履约保函作为履约保证，机构改革后按我局</w:t>
      </w:r>
      <w:r>
        <w:rPr>
          <w:rFonts w:hint="eastAsia" w:ascii="仿宋_GB2312" w:eastAsia="仿宋_GB2312" w:cs="仿宋_GB2312"/>
          <w:bCs/>
          <w:sz w:val="32"/>
          <w:szCs w:val="32"/>
          <w:highlight w:val="none"/>
          <w:lang w:bidi="ar"/>
        </w:rPr>
        <w:t>要求实行</w:t>
      </w:r>
      <w:r>
        <w:rPr>
          <w:rFonts w:hint="eastAsia" w:ascii="仿宋_GB2312" w:eastAsia="仿宋_GB2312" w:cs="仿宋_GB2312"/>
          <w:bCs/>
          <w:sz w:val="32"/>
          <w:szCs w:val="32"/>
          <w:lang w:bidi="ar"/>
        </w:rPr>
        <w:t>合同验收后支付尾款</w:t>
      </w:r>
      <w:r>
        <w:rPr>
          <w:rFonts w:hint="eastAsia" w:ascii="仿宋_GB2312" w:eastAsia="仿宋_GB2312" w:cs="仿宋_GB2312"/>
          <w:bCs/>
          <w:sz w:val="32"/>
          <w:szCs w:val="32"/>
          <w:highlight w:val="none"/>
          <w:lang w:bidi="ar"/>
        </w:rPr>
        <w:t>制度</w:t>
      </w:r>
      <w:r>
        <w:rPr>
          <w:rFonts w:hint="eastAsia" w:ascii="仿宋_GB2312" w:eastAsia="仿宋_GB2312" w:cs="仿宋_GB2312"/>
          <w:bCs/>
          <w:sz w:val="32"/>
          <w:szCs w:val="32"/>
          <w:lang w:bidi="ar"/>
        </w:rPr>
        <w:t>，为有效保障资金安全，</w:t>
      </w:r>
      <w:r>
        <w:rPr>
          <w:rFonts w:hint="eastAsia" w:ascii="仿宋_GB2312" w:eastAsia="仿宋_GB2312" w:cs="仿宋_GB2312"/>
          <w:bCs/>
          <w:sz w:val="32"/>
          <w:szCs w:val="32"/>
          <w:highlight w:val="none"/>
          <w:lang w:bidi="ar"/>
        </w:rPr>
        <w:t>部分</w:t>
      </w:r>
      <w:r>
        <w:rPr>
          <w:rFonts w:hint="eastAsia" w:ascii="仿宋_GB2312" w:eastAsia="仿宋_GB2312" w:cs="仿宋_GB2312"/>
          <w:bCs/>
          <w:sz w:val="32"/>
          <w:szCs w:val="32"/>
          <w:lang w:bidi="ar"/>
        </w:rPr>
        <w:t>经费</w:t>
      </w:r>
      <w:r>
        <w:rPr>
          <w:rFonts w:hint="eastAsia" w:ascii="仿宋_GB2312" w:eastAsia="仿宋_GB2312" w:cs="仿宋_GB2312"/>
          <w:bCs/>
          <w:sz w:val="32"/>
          <w:szCs w:val="32"/>
          <w:highlight w:val="none"/>
          <w:lang w:bidi="ar"/>
        </w:rPr>
        <w:t>未能</w:t>
      </w:r>
      <w:r>
        <w:rPr>
          <w:rFonts w:hint="eastAsia" w:ascii="仿宋_GB2312" w:eastAsia="仿宋_GB2312" w:cs="仿宋_GB2312"/>
          <w:bCs/>
          <w:sz w:val="32"/>
          <w:szCs w:val="32"/>
          <w:lang w:bidi="ar"/>
        </w:rPr>
        <w:t>当年全</w:t>
      </w:r>
      <w:r>
        <w:rPr>
          <w:rFonts w:hint="eastAsia" w:ascii="仿宋_GB2312" w:eastAsia="仿宋_GB2312" w:cs="仿宋_GB2312"/>
          <w:bCs/>
          <w:sz w:val="32"/>
          <w:szCs w:val="32"/>
          <w:highlight w:val="none"/>
          <w:lang w:bidi="ar"/>
        </w:rPr>
        <w:t>部</w:t>
      </w:r>
      <w:r>
        <w:rPr>
          <w:rFonts w:hint="eastAsia" w:ascii="仿宋_GB2312" w:eastAsia="仿宋_GB2312" w:cs="仿宋_GB2312"/>
          <w:bCs/>
          <w:sz w:val="32"/>
          <w:szCs w:val="32"/>
          <w:lang w:bidi="ar"/>
        </w:rPr>
        <w:t>支出，导致部门结转结余率偏高；二是部分项目因经费下达时间较晚，项目采购及合同签订时间相应延迟，导致实际产出与绩效目标指标无法精准匹配，年度内产出未达预期。</w:t>
      </w:r>
    </w:p>
    <w:p>
      <w:pPr>
        <w:adjustRightInd w:val="0"/>
        <w:snapToGrid w:val="0"/>
        <w:spacing w:line="560" w:lineRule="exact"/>
        <w:ind w:firstLine="640" w:firstLineChars="200"/>
        <w:outlineLvl w:val="2"/>
        <w:rPr>
          <w:rFonts w:ascii="仿宋_GB2312" w:eastAsia="仿宋_GB2312" w:cs="仿宋_GB2312"/>
          <w:bCs/>
          <w:sz w:val="32"/>
          <w:szCs w:val="32"/>
          <w:lang w:bidi="ar"/>
        </w:rPr>
      </w:pPr>
      <w:r>
        <w:rPr>
          <w:rFonts w:hint="eastAsia" w:ascii="仿宋_GB2312" w:eastAsia="仿宋_GB2312" w:cs="仿宋_GB2312"/>
          <w:bCs/>
          <w:sz w:val="32"/>
          <w:szCs w:val="32"/>
          <w:lang w:bidi="ar"/>
        </w:rPr>
        <w:t>2.项目储备工作不足，预算编制精细化水平需进一步增强</w:t>
      </w:r>
    </w:p>
    <w:p>
      <w:pPr>
        <w:adjustRightInd w:val="0"/>
        <w:snapToGrid w:val="0"/>
        <w:spacing w:line="560" w:lineRule="exact"/>
        <w:ind w:firstLine="640" w:firstLineChars="200"/>
        <w:rPr>
          <w:rFonts w:ascii="仿宋_GB2312" w:eastAsia="仿宋_GB2312"/>
          <w:bCs/>
          <w:sz w:val="32"/>
          <w:szCs w:val="32"/>
        </w:rPr>
      </w:pPr>
      <w:r>
        <w:rPr>
          <w:rFonts w:hint="eastAsia" w:ascii="仿宋_GB2312" w:hAnsi="仿宋" w:eastAsia="仿宋_GB2312" w:cs="仿宋_GB2312"/>
          <w:sz w:val="32"/>
          <w:szCs w:val="32"/>
          <w:shd w:val="clear" w:color="auto" w:fill="FFFFFF"/>
          <w:lang w:bidi="ar"/>
        </w:rPr>
        <w:t>一是项目处室/中心针对新增或内容变化较大项目的储备工作不够充分，</w:t>
      </w:r>
      <w:r>
        <w:rPr>
          <w:rFonts w:hint="eastAsia" w:ascii="仿宋_GB2312" w:eastAsia="仿宋_GB2312"/>
          <w:bCs/>
          <w:sz w:val="32"/>
          <w:szCs w:val="32"/>
        </w:rPr>
        <w:t>未给预算评审、采购审批等程序留出充足时间，导致合同签订时间滞后，项目实际开展较原计划有一定偏差；二是部分项目预算测算对服务商报价及以往合同金额的依赖程度较高，未充分发挥项目处室的主体责任作用，预算测算细化程度有待进一步提升。</w:t>
      </w:r>
    </w:p>
    <w:p>
      <w:pPr>
        <w:adjustRightInd w:val="0"/>
        <w:snapToGrid w:val="0"/>
        <w:spacing w:line="560" w:lineRule="exact"/>
        <w:ind w:firstLine="640" w:firstLineChars="200"/>
        <w:outlineLvl w:val="2"/>
        <w:rPr>
          <w:rFonts w:ascii="仿宋_GB2312" w:eastAsia="仿宋_GB2312" w:cs="仿宋_GB2312"/>
          <w:bCs/>
          <w:sz w:val="32"/>
          <w:szCs w:val="32"/>
          <w:lang w:bidi="ar"/>
        </w:rPr>
      </w:pPr>
      <w:r>
        <w:rPr>
          <w:rFonts w:hint="eastAsia" w:ascii="仿宋_GB2312" w:eastAsia="仿宋_GB2312" w:cs="仿宋_GB2312"/>
          <w:bCs/>
          <w:sz w:val="32"/>
          <w:szCs w:val="32"/>
          <w:lang w:bidi="ar"/>
        </w:rPr>
        <w:t>3.项目效益呈现及满意度调查工作需进一步加强</w:t>
      </w:r>
    </w:p>
    <w:p>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eastAsia="仿宋_GB2312"/>
          <w:bCs/>
          <w:sz w:val="32"/>
          <w:szCs w:val="32"/>
        </w:rPr>
        <w:t>一是存在部分项目效益发挥仍有一定改进空间，延续性项目年度效益以及年度工作开展对中长期目标达成的渐进式作用不够凸显；</w:t>
      </w:r>
      <w:r>
        <w:rPr>
          <w:rFonts w:hint="eastAsia" w:ascii="仿宋_GB2312" w:hAnsi="黑体" w:eastAsia="仿宋_GB2312" w:cs="宋体"/>
          <w:sz w:val="32"/>
          <w:szCs w:val="32"/>
        </w:rPr>
        <w:t>二是项目满意度调查工作需进一步增强，满意度问卷与项目内容的贴合度、问卷中问题的丰富程度以及问卷的数量不够充分等有待改进。</w:t>
      </w:r>
    </w:p>
    <w:p>
      <w:pPr>
        <w:adjustRightInd w:val="0"/>
        <w:snapToGrid w:val="0"/>
        <w:spacing w:line="560" w:lineRule="exact"/>
        <w:ind w:firstLine="640" w:firstLineChars="200"/>
        <w:outlineLvl w:val="0"/>
        <w:rPr>
          <w:rFonts w:hint="eastAsia" w:ascii="黑体" w:hAnsi="宋体" w:eastAsia="黑体" w:cs="宋体"/>
          <w:kern w:val="0"/>
          <w:sz w:val="32"/>
          <w:szCs w:val="32"/>
        </w:rPr>
      </w:pPr>
      <w:bookmarkStart w:id="9" w:name="_Toc29587"/>
      <w:bookmarkStart w:id="10" w:name="_Toc25607"/>
      <w:r>
        <w:rPr>
          <w:rFonts w:hint="eastAsia" w:ascii="黑体" w:hAnsi="宋体" w:eastAsia="黑体" w:cs="宋体"/>
          <w:kern w:val="0"/>
          <w:sz w:val="32"/>
          <w:szCs w:val="32"/>
        </w:rPr>
        <w:t>六、措施建议</w:t>
      </w:r>
      <w:bookmarkEnd w:id="9"/>
      <w:bookmarkEnd w:id="10"/>
    </w:p>
    <w:bookmarkEnd w:id="3"/>
    <w:bookmarkEnd w:id="4"/>
    <w:p>
      <w:pPr>
        <w:adjustRightInd w:val="0"/>
        <w:snapToGrid w:val="0"/>
        <w:spacing w:line="560" w:lineRule="exact"/>
        <w:ind w:firstLine="640" w:firstLineChars="200"/>
        <w:rPr>
          <w:rFonts w:hint="eastAsia" w:ascii="楷体" w:hAnsi="楷体" w:eastAsia="楷体" w:cs="楷体"/>
          <w:sz w:val="32"/>
          <w:szCs w:val="32"/>
          <w:lang w:bidi="ar"/>
        </w:rPr>
      </w:pPr>
      <w:bookmarkStart w:id="11" w:name="_Toc28594"/>
      <w:bookmarkStart w:id="12" w:name="_Toc15288"/>
      <w:r>
        <w:rPr>
          <w:rFonts w:hint="eastAsia" w:ascii="楷体" w:hAnsi="楷体" w:eastAsia="楷体" w:cs="楷体"/>
          <w:sz w:val="32"/>
          <w:szCs w:val="32"/>
          <w:highlight w:val="none"/>
          <w:lang w:bidi="ar"/>
        </w:rPr>
        <w:t>（一）优化工作机制与执行管控</w:t>
      </w:r>
    </w:p>
    <w:p>
      <w:pPr>
        <w:adjustRightInd w:val="0"/>
        <w:snapToGrid w:val="0"/>
        <w:spacing w:line="560" w:lineRule="exact"/>
        <w:ind w:firstLine="640" w:firstLineChars="200"/>
        <w:outlineLvl w:val="9"/>
        <w:rPr>
          <w:rFonts w:hint="eastAsia" w:ascii="仿宋_GB2312" w:hAnsi="黑体" w:eastAsia="仿宋_GB2312" w:cs="宋体"/>
          <w:sz w:val="32"/>
          <w:szCs w:val="32"/>
          <w:highlight w:val="none"/>
          <w:lang w:bidi="ar-SA"/>
        </w:rPr>
      </w:pPr>
      <w:r>
        <w:rPr>
          <w:rFonts w:hint="eastAsia" w:ascii="仿宋_GB2312" w:hAnsi="黑体" w:eastAsia="仿宋_GB2312" w:cs="宋体"/>
          <w:sz w:val="32"/>
          <w:szCs w:val="32"/>
          <w:highlight w:val="none"/>
          <w:lang w:bidi="ar-SA"/>
        </w:rPr>
        <w:t>进一步理顺工作机制，完善跨年项目预算申报及资金支付机制，强化年度实际产出与预算资金、绩效指标的匹配性；建立项目执行风险预警机制，优化跨部门协调流程，实施弹性进度管理，对受特殊因素影响项目动态调整实施计划，保障经费划转与项目推进有序衔接。</w:t>
      </w:r>
    </w:p>
    <w:p>
      <w:pPr>
        <w:adjustRightInd w:val="0"/>
        <w:snapToGrid w:val="0"/>
        <w:spacing w:line="560" w:lineRule="exact"/>
        <w:ind w:firstLine="640" w:firstLineChars="200"/>
        <w:outlineLvl w:val="1"/>
        <w:rPr>
          <w:rFonts w:hint="eastAsia" w:ascii="楷体" w:hAnsi="楷体" w:eastAsia="楷体" w:cs="楷体"/>
          <w:sz w:val="32"/>
          <w:szCs w:val="32"/>
          <w:highlight w:val="none"/>
          <w:lang w:bidi="ar"/>
        </w:rPr>
      </w:pPr>
      <w:r>
        <w:rPr>
          <w:rFonts w:hint="eastAsia" w:ascii="楷体" w:hAnsi="楷体" w:eastAsia="楷体" w:cs="楷体"/>
          <w:sz w:val="32"/>
          <w:szCs w:val="32"/>
          <w:highlight w:val="none"/>
          <w:lang w:bidi="ar"/>
        </w:rPr>
        <w:t>（二）强化项目库管理与预算精细化</w:t>
      </w:r>
    </w:p>
    <w:p>
      <w:pPr>
        <w:adjustRightInd w:val="0"/>
        <w:snapToGrid w:val="0"/>
        <w:spacing w:line="560" w:lineRule="exact"/>
        <w:ind w:firstLine="640" w:firstLineChars="200"/>
        <w:outlineLvl w:val="9"/>
        <w:rPr>
          <w:rFonts w:hint="eastAsia" w:ascii="仿宋_GB2312" w:hAnsi="黑体" w:eastAsia="仿宋_GB2312" w:cs="宋体"/>
          <w:sz w:val="32"/>
          <w:szCs w:val="32"/>
          <w:highlight w:val="none"/>
          <w:lang w:bidi="ar-SA"/>
        </w:rPr>
      </w:pPr>
      <w:r>
        <w:rPr>
          <w:rFonts w:hint="eastAsia" w:ascii="仿宋_GB2312" w:hAnsi="黑体" w:eastAsia="仿宋_GB2312" w:cs="宋体"/>
          <w:sz w:val="32"/>
          <w:szCs w:val="32"/>
          <w:highlight w:val="none"/>
          <w:lang w:bidi="ar-SA"/>
        </w:rPr>
        <w:t>加强项目库多年储备管理，提前规划项目并制定</w:t>
      </w:r>
      <w:r>
        <w:rPr>
          <w:rFonts w:hint="eastAsia" w:ascii="仿宋_GB2312" w:hAnsi="黑体" w:eastAsia="仿宋_GB2312" w:cs="宋体"/>
          <w:sz w:val="32"/>
          <w:szCs w:val="32"/>
        </w:rPr>
        <w:t>相关</w:t>
      </w:r>
      <w:r>
        <w:rPr>
          <w:rFonts w:hint="eastAsia" w:ascii="仿宋_GB2312" w:hAnsi="黑体" w:eastAsia="仿宋_GB2312" w:cs="宋体"/>
          <w:sz w:val="32"/>
          <w:szCs w:val="32"/>
          <w:highlight w:val="none"/>
          <w:lang w:bidi="ar-SA"/>
        </w:rPr>
        <w:t>申报材料；强化业务处室主体责任，建立市场调研与成本分析机制，细化预算编制颗粒度，避免依赖服务商报价或历史合同金额，采用“服务量×单价”等方式科学测算</w:t>
      </w:r>
      <w:r>
        <w:rPr>
          <w:rFonts w:hint="eastAsia" w:ascii="仿宋_GB2312" w:hAnsi="黑体" w:eastAsia="仿宋_GB2312" w:cs="宋体"/>
          <w:sz w:val="32"/>
          <w:szCs w:val="32"/>
        </w:rPr>
        <w:t>各项预算</w:t>
      </w:r>
      <w:r>
        <w:rPr>
          <w:rFonts w:hint="eastAsia" w:ascii="仿宋_GB2312" w:hAnsi="黑体" w:eastAsia="仿宋_GB2312" w:cs="宋体"/>
          <w:sz w:val="32"/>
          <w:szCs w:val="32"/>
          <w:highlight w:val="none"/>
          <w:lang w:bidi="ar-SA"/>
        </w:rPr>
        <w:t>支出，提升预算精准度。</w:t>
      </w:r>
    </w:p>
    <w:p>
      <w:pPr>
        <w:adjustRightInd w:val="0"/>
        <w:snapToGrid w:val="0"/>
        <w:spacing w:line="560" w:lineRule="exact"/>
        <w:ind w:firstLine="640" w:firstLineChars="200"/>
        <w:outlineLvl w:val="1"/>
        <w:rPr>
          <w:rFonts w:hint="eastAsia" w:ascii="楷体" w:hAnsi="楷体" w:eastAsia="楷体" w:cs="楷体"/>
          <w:sz w:val="32"/>
          <w:szCs w:val="32"/>
          <w:highlight w:val="none"/>
          <w:lang w:bidi="ar"/>
        </w:rPr>
      </w:pPr>
      <w:r>
        <w:rPr>
          <w:rFonts w:hint="eastAsia" w:ascii="楷体" w:hAnsi="楷体" w:eastAsia="楷体" w:cs="楷体"/>
          <w:sz w:val="32"/>
          <w:szCs w:val="32"/>
          <w:highlight w:val="none"/>
          <w:lang w:bidi="ar"/>
        </w:rPr>
        <w:t>（三）深化成效挖掘与满意度管理</w:t>
      </w:r>
    </w:p>
    <w:p>
      <w:pPr>
        <w:adjustRightInd w:val="0"/>
        <w:snapToGrid w:val="0"/>
        <w:spacing w:line="560" w:lineRule="exact"/>
        <w:ind w:firstLine="640" w:firstLineChars="200"/>
        <w:rPr>
          <w:rFonts w:hint="eastAsia" w:ascii="仿宋_GB2312" w:hAnsi="宋体" w:eastAsia="仿宋_GB2312" w:cs="仿宋_GB2312"/>
          <w:iCs/>
          <w:sz w:val="32"/>
          <w:szCs w:val="32"/>
          <w:lang w:bidi="ar"/>
        </w:rPr>
      </w:pPr>
      <w:r>
        <w:rPr>
          <w:rFonts w:hint="eastAsia" w:ascii="仿宋_GB2312" w:hAnsi="黑体" w:eastAsia="仿宋_GB2312" w:cs="宋体"/>
          <w:sz w:val="32"/>
          <w:szCs w:val="32"/>
          <w:highlight w:val="none"/>
          <w:lang w:bidi="ar-SA"/>
        </w:rPr>
        <w:t>建立多维度效益评估体系，完善延续性项目中长期效益跟踪机制，加强典型案例与支撑数据收集；规范满意度调查管理，配套开展专项调查，优化问卷设计，增加问题针对性并确保样本量充足，为绩效评估提供全面客观数据支撑。</w:t>
      </w:r>
      <w:bookmarkEnd w:id="11"/>
      <w:bookmarkEnd w:id="12"/>
    </w:p>
    <w:sectPr>
      <w:footerReference r:id="rId5" w:type="default"/>
      <w:pgSz w:w="11906" w:h="16838"/>
      <w:pgMar w:top="1440" w:right="1474" w:bottom="1440" w:left="158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jc w:val="right"/>
      <w:rPr>
        <w:rFonts w:hint="eastAsia" w:ascii="宋体" w:hAnsi="宋体"/>
        <w:sz w:val="28"/>
        <w:szCs w:val="28"/>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7758866"/>
    </w:sdtPr>
    <w:sdtEndPr>
      <w:rPr>
        <w:rFonts w:asciiTheme="minorEastAsia" w:hAnsiTheme="minorEastAsia" w:eastAsiaTheme="minorEastAsia"/>
        <w:sz w:val="48"/>
        <w:szCs w:val="48"/>
      </w:rPr>
    </w:sdtEndPr>
    <w:sdtContent>
      <w:p>
        <w:pPr>
          <w:pStyle w:val="8"/>
          <w:ind w:firstLine="360"/>
          <w:jc w:val="center"/>
          <w:rPr>
            <w:rFonts w:hint="eastAsia" w:asciiTheme="minorEastAsia" w:hAnsiTheme="minorEastAsia" w:eastAsiaTheme="minorEastAsia"/>
            <w:sz w:val="28"/>
            <w:szCs w:val="32"/>
          </w:rPr>
        </w:pPr>
        <w:r>
          <w:rPr>
            <w:rFonts w:asciiTheme="minorEastAsia" w:hAnsiTheme="minorEastAsia" w:eastAsiaTheme="minorEastAsia"/>
            <w:sz w:val="28"/>
            <w:szCs w:val="32"/>
          </w:rPr>
          <w:fldChar w:fldCharType="begin"/>
        </w:r>
        <w:r>
          <w:rPr>
            <w:rFonts w:asciiTheme="minorEastAsia" w:hAnsiTheme="minorEastAsia" w:eastAsiaTheme="minorEastAsia"/>
            <w:sz w:val="28"/>
            <w:szCs w:val="32"/>
          </w:rPr>
          <w:instrText xml:space="preserve">PAGE   \* MERGEFORMAT</w:instrText>
        </w:r>
        <w:r>
          <w:rPr>
            <w:rFonts w:asciiTheme="minorEastAsia" w:hAnsiTheme="minorEastAsia" w:eastAsiaTheme="minorEastAsia"/>
            <w:sz w:val="28"/>
            <w:szCs w:val="32"/>
          </w:rPr>
          <w:fldChar w:fldCharType="separate"/>
        </w:r>
        <w:r>
          <w:rPr>
            <w:rFonts w:asciiTheme="minorEastAsia" w:hAnsiTheme="minorEastAsia" w:eastAsiaTheme="minorEastAsia"/>
            <w:sz w:val="28"/>
            <w:szCs w:val="32"/>
            <w:lang w:val="zh-CN"/>
          </w:rPr>
          <w:t>2</w:t>
        </w:r>
        <w:r>
          <w:rPr>
            <w:rFonts w:asciiTheme="minorEastAsia" w:hAnsiTheme="minorEastAsia" w:eastAsiaTheme="minorEastAsia"/>
            <w:sz w:val="28"/>
            <w:szCs w:val="32"/>
          </w:rPr>
          <w:fldChar w:fldCharType="end"/>
        </w:r>
      </w:p>
    </w:sdtContent>
  </w:sdt>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1"/>
      </w:pPr>
      <w:r>
        <w:rPr>
          <w:rStyle w:val="21"/>
        </w:rPr>
        <w:footnoteRef/>
      </w:r>
      <w:r>
        <w:rPr>
          <w:rFonts w:hint="eastAsia"/>
        </w:rPr>
        <w:t xml:space="preserve"> 受机构改革影响，2024年度，纳入部门决算汇编范围的独立核算单位共5个，比上年增加2个，因此年末固定资产金额增长幅度较大。</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1NzhmZWFiZWZmMTBlNWE3MDE4NzgzODMzZGY3MjEifQ=="/>
  </w:docVars>
  <w:rsids>
    <w:rsidRoot w:val="F77F09F4"/>
    <w:rsid w:val="00001C8C"/>
    <w:rsid w:val="000020EC"/>
    <w:rsid w:val="00002A06"/>
    <w:rsid w:val="00003243"/>
    <w:rsid w:val="0000582B"/>
    <w:rsid w:val="000059CD"/>
    <w:rsid w:val="00011588"/>
    <w:rsid w:val="00012312"/>
    <w:rsid w:val="00015274"/>
    <w:rsid w:val="000240BB"/>
    <w:rsid w:val="000249A1"/>
    <w:rsid w:val="00030755"/>
    <w:rsid w:val="000322F9"/>
    <w:rsid w:val="0003300B"/>
    <w:rsid w:val="0003591B"/>
    <w:rsid w:val="000371E6"/>
    <w:rsid w:val="00037837"/>
    <w:rsid w:val="0004018B"/>
    <w:rsid w:val="00041BCD"/>
    <w:rsid w:val="00046463"/>
    <w:rsid w:val="00046904"/>
    <w:rsid w:val="000524D1"/>
    <w:rsid w:val="000533A2"/>
    <w:rsid w:val="00055A9D"/>
    <w:rsid w:val="00062BC0"/>
    <w:rsid w:val="00064451"/>
    <w:rsid w:val="0006505C"/>
    <w:rsid w:val="000666EC"/>
    <w:rsid w:val="00070017"/>
    <w:rsid w:val="000746A3"/>
    <w:rsid w:val="0007598A"/>
    <w:rsid w:val="00075A99"/>
    <w:rsid w:val="000763A0"/>
    <w:rsid w:val="00085E5C"/>
    <w:rsid w:val="00087FAE"/>
    <w:rsid w:val="00090E85"/>
    <w:rsid w:val="000910C0"/>
    <w:rsid w:val="000951CA"/>
    <w:rsid w:val="00095635"/>
    <w:rsid w:val="00096A85"/>
    <w:rsid w:val="000A4EEF"/>
    <w:rsid w:val="000A7229"/>
    <w:rsid w:val="000B1CA3"/>
    <w:rsid w:val="000B6C8B"/>
    <w:rsid w:val="000C0909"/>
    <w:rsid w:val="000C0FDD"/>
    <w:rsid w:val="000C1BDC"/>
    <w:rsid w:val="000C1FEE"/>
    <w:rsid w:val="000C25D8"/>
    <w:rsid w:val="000C2888"/>
    <w:rsid w:val="000C291D"/>
    <w:rsid w:val="000C4822"/>
    <w:rsid w:val="000D1433"/>
    <w:rsid w:val="000E2F43"/>
    <w:rsid w:val="000E3995"/>
    <w:rsid w:val="000E446F"/>
    <w:rsid w:val="000E5319"/>
    <w:rsid w:val="000E6F71"/>
    <w:rsid w:val="000E7225"/>
    <w:rsid w:val="000E7486"/>
    <w:rsid w:val="000E75F6"/>
    <w:rsid w:val="000F01F7"/>
    <w:rsid w:val="000F44D1"/>
    <w:rsid w:val="000F4D2F"/>
    <w:rsid w:val="000F50C7"/>
    <w:rsid w:val="000F5BC4"/>
    <w:rsid w:val="000F5F4B"/>
    <w:rsid w:val="0010020F"/>
    <w:rsid w:val="00104AA9"/>
    <w:rsid w:val="001055C1"/>
    <w:rsid w:val="00110654"/>
    <w:rsid w:val="00110A57"/>
    <w:rsid w:val="00112917"/>
    <w:rsid w:val="00113386"/>
    <w:rsid w:val="00113591"/>
    <w:rsid w:val="001168F0"/>
    <w:rsid w:val="001216F4"/>
    <w:rsid w:val="001217C9"/>
    <w:rsid w:val="00122D3B"/>
    <w:rsid w:val="00126141"/>
    <w:rsid w:val="00133946"/>
    <w:rsid w:val="00145B84"/>
    <w:rsid w:val="00152379"/>
    <w:rsid w:val="00156831"/>
    <w:rsid w:val="001608CB"/>
    <w:rsid w:val="0016583B"/>
    <w:rsid w:val="001673EE"/>
    <w:rsid w:val="001732A6"/>
    <w:rsid w:val="00174683"/>
    <w:rsid w:val="00174BEC"/>
    <w:rsid w:val="00176C01"/>
    <w:rsid w:val="001923FC"/>
    <w:rsid w:val="00192665"/>
    <w:rsid w:val="00192F18"/>
    <w:rsid w:val="00194DBC"/>
    <w:rsid w:val="001A1392"/>
    <w:rsid w:val="001A2525"/>
    <w:rsid w:val="001B1503"/>
    <w:rsid w:val="001B2015"/>
    <w:rsid w:val="001B3720"/>
    <w:rsid w:val="001B6020"/>
    <w:rsid w:val="001C1350"/>
    <w:rsid w:val="001C1BF4"/>
    <w:rsid w:val="001C2FFB"/>
    <w:rsid w:val="001D0BBA"/>
    <w:rsid w:val="001D0F28"/>
    <w:rsid w:val="001D1286"/>
    <w:rsid w:val="001D2024"/>
    <w:rsid w:val="001D5D30"/>
    <w:rsid w:val="001E09A5"/>
    <w:rsid w:val="001E14EC"/>
    <w:rsid w:val="001E1505"/>
    <w:rsid w:val="001E4BBC"/>
    <w:rsid w:val="001E5956"/>
    <w:rsid w:val="001E718F"/>
    <w:rsid w:val="001E73F4"/>
    <w:rsid w:val="001E774E"/>
    <w:rsid w:val="001F0EF4"/>
    <w:rsid w:val="001F29C7"/>
    <w:rsid w:val="001F765B"/>
    <w:rsid w:val="00201E0F"/>
    <w:rsid w:val="0020494B"/>
    <w:rsid w:val="00206D97"/>
    <w:rsid w:val="0020763A"/>
    <w:rsid w:val="002114A4"/>
    <w:rsid w:val="0021229A"/>
    <w:rsid w:val="00213874"/>
    <w:rsid w:val="002139B6"/>
    <w:rsid w:val="00213F15"/>
    <w:rsid w:val="0021446B"/>
    <w:rsid w:val="00215C76"/>
    <w:rsid w:val="002203A7"/>
    <w:rsid w:val="002212CE"/>
    <w:rsid w:val="002253CD"/>
    <w:rsid w:val="002258AB"/>
    <w:rsid w:val="00226359"/>
    <w:rsid w:val="0022696C"/>
    <w:rsid w:val="00226BE5"/>
    <w:rsid w:val="00227216"/>
    <w:rsid w:val="00227416"/>
    <w:rsid w:val="002302FE"/>
    <w:rsid w:val="002317B8"/>
    <w:rsid w:val="00242D9C"/>
    <w:rsid w:val="00242E4B"/>
    <w:rsid w:val="00243D98"/>
    <w:rsid w:val="00253D25"/>
    <w:rsid w:val="00254D69"/>
    <w:rsid w:val="00254F18"/>
    <w:rsid w:val="002603E3"/>
    <w:rsid w:val="0026241F"/>
    <w:rsid w:val="00262A6A"/>
    <w:rsid w:val="002634C3"/>
    <w:rsid w:val="002648E4"/>
    <w:rsid w:val="00272B61"/>
    <w:rsid w:val="002776BC"/>
    <w:rsid w:val="00280175"/>
    <w:rsid w:val="00284589"/>
    <w:rsid w:val="00285023"/>
    <w:rsid w:val="002853F6"/>
    <w:rsid w:val="00286A4B"/>
    <w:rsid w:val="00291173"/>
    <w:rsid w:val="002916E8"/>
    <w:rsid w:val="00291889"/>
    <w:rsid w:val="00293914"/>
    <w:rsid w:val="0029426E"/>
    <w:rsid w:val="00295D10"/>
    <w:rsid w:val="00297102"/>
    <w:rsid w:val="00297BBA"/>
    <w:rsid w:val="002A5001"/>
    <w:rsid w:val="002B238B"/>
    <w:rsid w:val="002B46C5"/>
    <w:rsid w:val="002B5D4F"/>
    <w:rsid w:val="002B6FAB"/>
    <w:rsid w:val="002B766B"/>
    <w:rsid w:val="002C2669"/>
    <w:rsid w:val="002D70A5"/>
    <w:rsid w:val="002E0910"/>
    <w:rsid w:val="002E1A90"/>
    <w:rsid w:val="002E2E9A"/>
    <w:rsid w:val="002E4690"/>
    <w:rsid w:val="002E4BB4"/>
    <w:rsid w:val="002F0131"/>
    <w:rsid w:val="002F0560"/>
    <w:rsid w:val="002F0B0D"/>
    <w:rsid w:val="002F3F63"/>
    <w:rsid w:val="002F5829"/>
    <w:rsid w:val="002F6455"/>
    <w:rsid w:val="002F7A2B"/>
    <w:rsid w:val="00302A42"/>
    <w:rsid w:val="00302D6D"/>
    <w:rsid w:val="003047E2"/>
    <w:rsid w:val="00306B2D"/>
    <w:rsid w:val="0030769C"/>
    <w:rsid w:val="00307F43"/>
    <w:rsid w:val="00312EE7"/>
    <w:rsid w:val="0031507A"/>
    <w:rsid w:val="003213D6"/>
    <w:rsid w:val="00321D9A"/>
    <w:rsid w:val="00322EC0"/>
    <w:rsid w:val="0032372B"/>
    <w:rsid w:val="0033058C"/>
    <w:rsid w:val="00332E87"/>
    <w:rsid w:val="003358EB"/>
    <w:rsid w:val="00335A76"/>
    <w:rsid w:val="003362D5"/>
    <w:rsid w:val="0033746A"/>
    <w:rsid w:val="00340186"/>
    <w:rsid w:val="003431E9"/>
    <w:rsid w:val="003518A7"/>
    <w:rsid w:val="00357DCD"/>
    <w:rsid w:val="00361B06"/>
    <w:rsid w:val="0036242C"/>
    <w:rsid w:val="00363271"/>
    <w:rsid w:val="003634BE"/>
    <w:rsid w:val="003641C4"/>
    <w:rsid w:val="003648EF"/>
    <w:rsid w:val="00365C10"/>
    <w:rsid w:val="00376567"/>
    <w:rsid w:val="0038018B"/>
    <w:rsid w:val="0038026E"/>
    <w:rsid w:val="00382A1D"/>
    <w:rsid w:val="00390ADB"/>
    <w:rsid w:val="00392C7A"/>
    <w:rsid w:val="003A51DC"/>
    <w:rsid w:val="003A5E2B"/>
    <w:rsid w:val="003B33F1"/>
    <w:rsid w:val="003B5A88"/>
    <w:rsid w:val="003B72F8"/>
    <w:rsid w:val="003C2992"/>
    <w:rsid w:val="003C5A0D"/>
    <w:rsid w:val="003C6BD7"/>
    <w:rsid w:val="003C7D2B"/>
    <w:rsid w:val="003D1A24"/>
    <w:rsid w:val="003D4876"/>
    <w:rsid w:val="003D48C8"/>
    <w:rsid w:val="003D4E23"/>
    <w:rsid w:val="003D563A"/>
    <w:rsid w:val="003D5A4A"/>
    <w:rsid w:val="003D7043"/>
    <w:rsid w:val="003E2137"/>
    <w:rsid w:val="003E299C"/>
    <w:rsid w:val="003E2E9F"/>
    <w:rsid w:val="003E507E"/>
    <w:rsid w:val="003E73BA"/>
    <w:rsid w:val="003E7CCE"/>
    <w:rsid w:val="003F6ACF"/>
    <w:rsid w:val="003F6BEB"/>
    <w:rsid w:val="00401DD7"/>
    <w:rsid w:val="00403C75"/>
    <w:rsid w:val="0040727F"/>
    <w:rsid w:val="00412CD0"/>
    <w:rsid w:val="00414D53"/>
    <w:rsid w:val="004164E2"/>
    <w:rsid w:val="0042032D"/>
    <w:rsid w:val="004207A1"/>
    <w:rsid w:val="0042117E"/>
    <w:rsid w:val="00421C2A"/>
    <w:rsid w:val="00421F91"/>
    <w:rsid w:val="0042574F"/>
    <w:rsid w:val="0043544A"/>
    <w:rsid w:val="00436275"/>
    <w:rsid w:val="0044165E"/>
    <w:rsid w:val="00441773"/>
    <w:rsid w:val="00445343"/>
    <w:rsid w:val="00445BE8"/>
    <w:rsid w:val="00450BCB"/>
    <w:rsid w:val="004536FF"/>
    <w:rsid w:val="004551A5"/>
    <w:rsid w:val="004564F3"/>
    <w:rsid w:val="00461E32"/>
    <w:rsid w:val="0046228F"/>
    <w:rsid w:val="0047245D"/>
    <w:rsid w:val="00474491"/>
    <w:rsid w:val="0047705B"/>
    <w:rsid w:val="004770A5"/>
    <w:rsid w:val="0048005C"/>
    <w:rsid w:val="00487C04"/>
    <w:rsid w:val="00497346"/>
    <w:rsid w:val="004A3CDD"/>
    <w:rsid w:val="004A421B"/>
    <w:rsid w:val="004A669A"/>
    <w:rsid w:val="004B0189"/>
    <w:rsid w:val="004B25FE"/>
    <w:rsid w:val="004B57E4"/>
    <w:rsid w:val="004B6F22"/>
    <w:rsid w:val="004B7598"/>
    <w:rsid w:val="004C1453"/>
    <w:rsid w:val="004C3D63"/>
    <w:rsid w:val="004C5EAD"/>
    <w:rsid w:val="004C737B"/>
    <w:rsid w:val="004D18D1"/>
    <w:rsid w:val="004E11FA"/>
    <w:rsid w:val="004E2EFD"/>
    <w:rsid w:val="004F147C"/>
    <w:rsid w:val="004F22B0"/>
    <w:rsid w:val="004F2EAC"/>
    <w:rsid w:val="00500FC9"/>
    <w:rsid w:val="00505CD4"/>
    <w:rsid w:val="00506254"/>
    <w:rsid w:val="00506820"/>
    <w:rsid w:val="00507C97"/>
    <w:rsid w:val="00512508"/>
    <w:rsid w:val="0051308A"/>
    <w:rsid w:val="00516F46"/>
    <w:rsid w:val="0051757E"/>
    <w:rsid w:val="005204CE"/>
    <w:rsid w:val="00520C91"/>
    <w:rsid w:val="00521233"/>
    <w:rsid w:val="005219F2"/>
    <w:rsid w:val="00521A58"/>
    <w:rsid w:val="005226CD"/>
    <w:rsid w:val="00522F40"/>
    <w:rsid w:val="005251FB"/>
    <w:rsid w:val="0053029B"/>
    <w:rsid w:val="00530330"/>
    <w:rsid w:val="00535AE4"/>
    <w:rsid w:val="0053601E"/>
    <w:rsid w:val="005401D0"/>
    <w:rsid w:val="00540830"/>
    <w:rsid w:val="00541C38"/>
    <w:rsid w:val="0054340F"/>
    <w:rsid w:val="00543AA8"/>
    <w:rsid w:val="00547253"/>
    <w:rsid w:val="00551623"/>
    <w:rsid w:val="00551C21"/>
    <w:rsid w:val="0055208F"/>
    <w:rsid w:val="00554F9F"/>
    <w:rsid w:val="00563642"/>
    <w:rsid w:val="00565496"/>
    <w:rsid w:val="00566AA5"/>
    <w:rsid w:val="00566ACD"/>
    <w:rsid w:val="00567615"/>
    <w:rsid w:val="00567D3E"/>
    <w:rsid w:val="0057406A"/>
    <w:rsid w:val="005810B7"/>
    <w:rsid w:val="0058292E"/>
    <w:rsid w:val="00592265"/>
    <w:rsid w:val="005952C4"/>
    <w:rsid w:val="005A30EC"/>
    <w:rsid w:val="005A4848"/>
    <w:rsid w:val="005A6734"/>
    <w:rsid w:val="005B6600"/>
    <w:rsid w:val="005B703B"/>
    <w:rsid w:val="005C13ED"/>
    <w:rsid w:val="005C2F74"/>
    <w:rsid w:val="005C79A5"/>
    <w:rsid w:val="005D27F1"/>
    <w:rsid w:val="005D2C19"/>
    <w:rsid w:val="005D7E92"/>
    <w:rsid w:val="005E01E1"/>
    <w:rsid w:val="005E6A7E"/>
    <w:rsid w:val="005E73A0"/>
    <w:rsid w:val="005E7F6C"/>
    <w:rsid w:val="005F5437"/>
    <w:rsid w:val="005F7B56"/>
    <w:rsid w:val="006077B3"/>
    <w:rsid w:val="006079B1"/>
    <w:rsid w:val="00610DCF"/>
    <w:rsid w:val="00611A1A"/>
    <w:rsid w:val="00612698"/>
    <w:rsid w:val="006172F7"/>
    <w:rsid w:val="00620A72"/>
    <w:rsid w:val="00622011"/>
    <w:rsid w:val="00622CDC"/>
    <w:rsid w:val="00625F5A"/>
    <w:rsid w:val="0063249F"/>
    <w:rsid w:val="00636B23"/>
    <w:rsid w:val="00637D09"/>
    <w:rsid w:val="006402CA"/>
    <w:rsid w:val="0064091B"/>
    <w:rsid w:val="00642287"/>
    <w:rsid w:val="00647CE1"/>
    <w:rsid w:val="006505A4"/>
    <w:rsid w:val="00651C4B"/>
    <w:rsid w:val="0065246F"/>
    <w:rsid w:val="006534AB"/>
    <w:rsid w:val="0065712F"/>
    <w:rsid w:val="006574EB"/>
    <w:rsid w:val="00657A66"/>
    <w:rsid w:val="00657E8C"/>
    <w:rsid w:val="00661BAC"/>
    <w:rsid w:val="00662A54"/>
    <w:rsid w:val="006648D1"/>
    <w:rsid w:val="006711CD"/>
    <w:rsid w:val="00684114"/>
    <w:rsid w:val="0068433B"/>
    <w:rsid w:val="00685563"/>
    <w:rsid w:val="0068642E"/>
    <w:rsid w:val="00686855"/>
    <w:rsid w:val="00686DED"/>
    <w:rsid w:val="00687A45"/>
    <w:rsid w:val="006965EF"/>
    <w:rsid w:val="00696B76"/>
    <w:rsid w:val="006A1CAC"/>
    <w:rsid w:val="006A1F4E"/>
    <w:rsid w:val="006A2AE4"/>
    <w:rsid w:val="006A6BB9"/>
    <w:rsid w:val="006B0800"/>
    <w:rsid w:val="006B1367"/>
    <w:rsid w:val="006B549B"/>
    <w:rsid w:val="006B72F3"/>
    <w:rsid w:val="006C068D"/>
    <w:rsid w:val="006C06B7"/>
    <w:rsid w:val="006C0FED"/>
    <w:rsid w:val="006C2A0B"/>
    <w:rsid w:val="006C2FAA"/>
    <w:rsid w:val="006C7131"/>
    <w:rsid w:val="006D5D34"/>
    <w:rsid w:val="006D7738"/>
    <w:rsid w:val="006E140C"/>
    <w:rsid w:val="006E5742"/>
    <w:rsid w:val="006E588D"/>
    <w:rsid w:val="006E608C"/>
    <w:rsid w:val="006E669E"/>
    <w:rsid w:val="006F1D2B"/>
    <w:rsid w:val="006F4F6F"/>
    <w:rsid w:val="00700A01"/>
    <w:rsid w:val="00701C6A"/>
    <w:rsid w:val="00703767"/>
    <w:rsid w:val="0070706E"/>
    <w:rsid w:val="007074A1"/>
    <w:rsid w:val="00707E7B"/>
    <w:rsid w:val="00710121"/>
    <w:rsid w:val="00711B9E"/>
    <w:rsid w:val="0071340B"/>
    <w:rsid w:val="00714AF8"/>
    <w:rsid w:val="00722645"/>
    <w:rsid w:val="00725481"/>
    <w:rsid w:val="0072615B"/>
    <w:rsid w:val="007270FD"/>
    <w:rsid w:val="0072723A"/>
    <w:rsid w:val="007315BC"/>
    <w:rsid w:val="007338B9"/>
    <w:rsid w:val="00733DF3"/>
    <w:rsid w:val="007428BB"/>
    <w:rsid w:val="0075202D"/>
    <w:rsid w:val="00754551"/>
    <w:rsid w:val="00756CA7"/>
    <w:rsid w:val="00760886"/>
    <w:rsid w:val="00761F31"/>
    <w:rsid w:val="00765416"/>
    <w:rsid w:val="00767AFA"/>
    <w:rsid w:val="00775D0E"/>
    <w:rsid w:val="00775DE4"/>
    <w:rsid w:val="007824D2"/>
    <w:rsid w:val="007831FF"/>
    <w:rsid w:val="007847B2"/>
    <w:rsid w:val="00785102"/>
    <w:rsid w:val="007857ED"/>
    <w:rsid w:val="00785DB6"/>
    <w:rsid w:val="0079122E"/>
    <w:rsid w:val="00795BC3"/>
    <w:rsid w:val="007A005A"/>
    <w:rsid w:val="007A72D7"/>
    <w:rsid w:val="007A7746"/>
    <w:rsid w:val="007A7826"/>
    <w:rsid w:val="007A7C72"/>
    <w:rsid w:val="007B048C"/>
    <w:rsid w:val="007C04F4"/>
    <w:rsid w:val="007C3D5D"/>
    <w:rsid w:val="007C6072"/>
    <w:rsid w:val="007E09A6"/>
    <w:rsid w:val="007E67BE"/>
    <w:rsid w:val="007F2F7E"/>
    <w:rsid w:val="007F3CF9"/>
    <w:rsid w:val="007F519D"/>
    <w:rsid w:val="007F569E"/>
    <w:rsid w:val="007F5A43"/>
    <w:rsid w:val="007F601F"/>
    <w:rsid w:val="0081209A"/>
    <w:rsid w:val="0082482C"/>
    <w:rsid w:val="00824AF5"/>
    <w:rsid w:val="00824B54"/>
    <w:rsid w:val="00833DC3"/>
    <w:rsid w:val="00841B39"/>
    <w:rsid w:val="00841C90"/>
    <w:rsid w:val="00845B83"/>
    <w:rsid w:val="0084615B"/>
    <w:rsid w:val="00846713"/>
    <w:rsid w:val="00851239"/>
    <w:rsid w:val="008538F0"/>
    <w:rsid w:val="0085447A"/>
    <w:rsid w:val="00854603"/>
    <w:rsid w:val="0085676C"/>
    <w:rsid w:val="00856D3E"/>
    <w:rsid w:val="00856E92"/>
    <w:rsid w:val="00860C4F"/>
    <w:rsid w:val="00861907"/>
    <w:rsid w:val="00861C3F"/>
    <w:rsid w:val="008626ED"/>
    <w:rsid w:val="008634AD"/>
    <w:rsid w:val="0086620A"/>
    <w:rsid w:val="0086757B"/>
    <w:rsid w:val="008716F4"/>
    <w:rsid w:val="0087250F"/>
    <w:rsid w:val="00873F62"/>
    <w:rsid w:val="00874780"/>
    <w:rsid w:val="00874F53"/>
    <w:rsid w:val="00877CB9"/>
    <w:rsid w:val="0088225D"/>
    <w:rsid w:val="008903FA"/>
    <w:rsid w:val="008971E7"/>
    <w:rsid w:val="008A2395"/>
    <w:rsid w:val="008A474C"/>
    <w:rsid w:val="008A57E5"/>
    <w:rsid w:val="008A5BF1"/>
    <w:rsid w:val="008A7418"/>
    <w:rsid w:val="008B09BC"/>
    <w:rsid w:val="008B1521"/>
    <w:rsid w:val="008B2750"/>
    <w:rsid w:val="008B5A30"/>
    <w:rsid w:val="008B60DC"/>
    <w:rsid w:val="008B6B12"/>
    <w:rsid w:val="008C73BA"/>
    <w:rsid w:val="008D164B"/>
    <w:rsid w:val="008D3A2F"/>
    <w:rsid w:val="008D549D"/>
    <w:rsid w:val="008D583C"/>
    <w:rsid w:val="008E1C99"/>
    <w:rsid w:val="008E5BFB"/>
    <w:rsid w:val="008E7689"/>
    <w:rsid w:val="008F5814"/>
    <w:rsid w:val="008F7423"/>
    <w:rsid w:val="009004E6"/>
    <w:rsid w:val="00901CF6"/>
    <w:rsid w:val="0091110E"/>
    <w:rsid w:val="00912BEC"/>
    <w:rsid w:val="0091799D"/>
    <w:rsid w:val="00931E0F"/>
    <w:rsid w:val="00932B8D"/>
    <w:rsid w:val="00934BA8"/>
    <w:rsid w:val="00934E3F"/>
    <w:rsid w:val="00937007"/>
    <w:rsid w:val="00940145"/>
    <w:rsid w:val="00942D12"/>
    <w:rsid w:val="0094420E"/>
    <w:rsid w:val="009456BE"/>
    <w:rsid w:val="00950EA3"/>
    <w:rsid w:val="00951C4E"/>
    <w:rsid w:val="00956333"/>
    <w:rsid w:val="00956DB3"/>
    <w:rsid w:val="009622D2"/>
    <w:rsid w:val="00962510"/>
    <w:rsid w:val="00965318"/>
    <w:rsid w:val="0096620E"/>
    <w:rsid w:val="009729C5"/>
    <w:rsid w:val="00974692"/>
    <w:rsid w:val="009775D3"/>
    <w:rsid w:val="0097763B"/>
    <w:rsid w:val="00983B7F"/>
    <w:rsid w:val="009848EF"/>
    <w:rsid w:val="009856F5"/>
    <w:rsid w:val="00986D97"/>
    <w:rsid w:val="00987AEF"/>
    <w:rsid w:val="00996546"/>
    <w:rsid w:val="0099677A"/>
    <w:rsid w:val="00997105"/>
    <w:rsid w:val="00997357"/>
    <w:rsid w:val="00997C4F"/>
    <w:rsid w:val="009A1BA5"/>
    <w:rsid w:val="009A1DDB"/>
    <w:rsid w:val="009A38A1"/>
    <w:rsid w:val="009A549B"/>
    <w:rsid w:val="009A5ADA"/>
    <w:rsid w:val="009B08D6"/>
    <w:rsid w:val="009B1ADA"/>
    <w:rsid w:val="009B6080"/>
    <w:rsid w:val="009C3975"/>
    <w:rsid w:val="009C4D02"/>
    <w:rsid w:val="009C75DE"/>
    <w:rsid w:val="009D2CFB"/>
    <w:rsid w:val="009E1977"/>
    <w:rsid w:val="009E39F2"/>
    <w:rsid w:val="009E53DB"/>
    <w:rsid w:val="009F3A51"/>
    <w:rsid w:val="009F5844"/>
    <w:rsid w:val="00A01370"/>
    <w:rsid w:val="00A016B7"/>
    <w:rsid w:val="00A01DC2"/>
    <w:rsid w:val="00A0261F"/>
    <w:rsid w:val="00A041A6"/>
    <w:rsid w:val="00A05602"/>
    <w:rsid w:val="00A102F0"/>
    <w:rsid w:val="00A13001"/>
    <w:rsid w:val="00A13C23"/>
    <w:rsid w:val="00A20E7C"/>
    <w:rsid w:val="00A26392"/>
    <w:rsid w:val="00A265EF"/>
    <w:rsid w:val="00A26D94"/>
    <w:rsid w:val="00A35CB1"/>
    <w:rsid w:val="00A467E9"/>
    <w:rsid w:val="00A619BC"/>
    <w:rsid w:val="00A64373"/>
    <w:rsid w:val="00A71B33"/>
    <w:rsid w:val="00A7351C"/>
    <w:rsid w:val="00A7791B"/>
    <w:rsid w:val="00A86271"/>
    <w:rsid w:val="00A90141"/>
    <w:rsid w:val="00A90460"/>
    <w:rsid w:val="00A91ABF"/>
    <w:rsid w:val="00A9337E"/>
    <w:rsid w:val="00A93E3F"/>
    <w:rsid w:val="00A94246"/>
    <w:rsid w:val="00AB0574"/>
    <w:rsid w:val="00AB10DF"/>
    <w:rsid w:val="00AB1D6C"/>
    <w:rsid w:val="00AB4E5E"/>
    <w:rsid w:val="00AB7597"/>
    <w:rsid w:val="00AB7716"/>
    <w:rsid w:val="00AC0BB7"/>
    <w:rsid w:val="00AC43AE"/>
    <w:rsid w:val="00AD3AD0"/>
    <w:rsid w:val="00AD72B8"/>
    <w:rsid w:val="00AD7703"/>
    <w:rsid w:val="00AD79DF"/>
    <w:rsid w:val="00AE16BF"/>
    <w:rsid w:val="00AE357C"/>
    <w:rsid w:val="00AE447F"/>
    <w:rsid w:val="00AE5901"/>
    <w:rsid w:val="00AE614D"/>
    <w:rsid w:val="00AE78BC"/>
    <w:rsid w:val="00AF4792"/>
    <w:rsid w:val="00B022B1"/>
    <w:rsid w:val="00B1231B"/>
    <w:rsid w:val="00B124F3"/>
    <w:rsid w:val="00B16093"/>
    <w:rsid w:val="00B16CD3"/>
    <w:rsid w:val="00B20C95"/>
    <w:rsid w:val="00B21682"/>
    <w:rsid w:val="00B24097"/>
    <w:rsid w:val="00B27D8E"/>
    <w:rsid w:val="00B31D9C"/>
    <w:rsid w:val="00B31E8A"/>
    <w:rsid w:val="00B327AE"/>
    <w:rsid w:val="00B3287C"/>
    <w:rsid w:val="00B3616F"/>
    <w:rsid w:val="00B405D2"/>
    <w:rsid w:val="00B423C3"/>
    <w:rsid w:val="00B4264C"/>
    <w:rsid w:val="00B4330B"/>
    <w:rsid w:val="00B440A5"/>
    <w:rsid w:val="00B44B6F"/>
    <w:rsid w:val="00B47DDB"/>
    <w:rsid w:val="00B52C8E"/>
    <w:rsid w:val="00B5775A"/>
    <w:rsid w:val="00B602E7"/>
    <w:rsid w:val="00B61D11"/>
    <w:rsid w:val="00B645E6"/>
    <w:rsid w:val="00B669AA"/>
    <w:rsid w:val="00B678BC"/>
    <w:rsid w:val="00B727B5"/>
    <w:rsid w:val="00B72DB8"/>
    <w:rsid w:val="00B74442"/>
    <w:rsid w:val="00B75570"/>
    <w:rsid w:val="00B77076"/>
    <w:rsid w:val="00B77844"/>
    <w:rsid w:val="00B80972"/>
    <w:rsid w:val="00B80F50"/>
    <w:rsid w:val="00B83036"/>
    <w:rsid w:val="00B836FD"/>
    <w:rsid w:val="00B84D26"/>
    <w:rsid w:val="00B9325B"/>
    <w:rsid w:val="00B96547"/>
    <w:rsid w:val="00BA0C61"/>
    <w:rsid w:val="00BA4B41"/>
    <w:rsid w:val="00BA77AB"/>
    <w:rsid w:val="00BB0A60"/>
    <w:rsid w:val="00BB269A"/>
    <w:rsid w:val="00BC07B8"/>
    <w:rsid w:val="00BC2B63"/>
    <w:rsid w:val="00BC5973"/>
    <w:rsid w:val="00BC7DB1"/>
    <w:rsid w:val="00BD4071"/>
    <w:rsid w:val="00BD45C5"/>
    <w:rsid w:val="00BD5A36"/>
    <w:rsid w:val="00BD7EED"/>
    <w:rsid w:val="00BE11B6"/>
    <w:rsid w:val="00BE1CA0"/>
    <w:rsid w:val="00BE281E"/>
    <w:rsid w:val="00BE4B40"/>
    <w:rsid w:val="00BE7956"/>
    <w:rsid w:val="00BF1C85"/>
    <w:rsid w:val="00BF2E36"/>
    <w:rsid w:val="00BF3EFC"/>
    <w:rsid w:val="00BF5835"/>
    <w:rsid w:val="00BF6793"/>
    <w:rsid w:val="00BF6D74"/>
    <w:rsid w:val="00BF7B39"/>
    <w:rsid w:val="00C01D4D"/>
    <w:rsid w:val="00C05F00"/>
    <w:rsid w:val="00C063A8"/>
    <w:rsid w:val="00C07F53"/>
    <w:rsid w:val="00C111F8"/>
    <w:rsid w:val="00C23B7F"/>
    <w:rsid w:val="00C23EFB"/>
    <w:rsid w:val="00C256E4"/>
    <w:rsid w:val="00C25D7B"/>
    <w:rsid w:val="00C25E6A"/>
    <w:rsid w:val="00C26189"/>
    <w:rsid w:val="00C26945"/>
    <w:rsid w:val="00C30609"/>
    <w:rsid w:val="00C344FE"/>
    <w:rsid w:val="00C36B5B"/>
    <w:rsid w:val="00C36DE1"/>
    <w:rsid w:val="00C409D6"/>
    <w:rsid w:val="00C40D70"/>
    <w:rsid w:val="00C46B3B"/>
    <w:rsid w:val="00C47791"/>
    <w:rsid w:val="00C5154F"/>
    <w:rsid w:val="00C5167F"/>
    <w:rsid w:val="00C53133"/>
    <w:rsid w:val="00C568BA"/>
    <w:rsid w:val="00C61879"/>
    <w:rsid w:val="00C71576"/>
    <w:rsid w:val="00C74D97"/>
    <w:rsid w:val="00C77C55"/>
    <w:rsid w:val="00C80689"/>
    <w:rsid w:val="00C84D02"/>
    <w:rsid w:val="00C913AF"/>
    <w:rsid w:val="00C95C1A"/>
    <w:rsid w:val="00C97FA1"/>
    <w:rsid w:val="00CA0CF9"/>
    <w:rsid w:val="00CA0F4E"/>
    <w:rsid w:val="00CA19CC"/>
    <w:rsid w:val="00CA351D"/>
    <w:rsid w:val="00CA417A"/>
    <w:rsid w:val="00CA58BB"/>
    <w:rsid w:val="00CB0D55"/>
    <w:rsid w:val="00CB117A"/>
    <w:rsid w:val="00CB1F6D"/>
    <w:rsid w:val="00CB58D0"/>
    <w:rsid w:val="00CC6536"/>
    <w:rsid w:val="00CC6FAF"/>
    <w:rsid w:val="00CC7CD2"/>
    <w:rsid w:val="00CD45A4"/>
    <w:rsid w:val="00CD7474"/>
    <w:rsid w:val="00CD74E7"/>
    <w:rsid w:val="00CE5949"/>
    <w:rsid w:val="00CE6471"/>
    <w:rsid w:val="00CF1EF9"/>
    <w:rsid w:val="00CF6E67"/>
    <w:rsid w:val="00D02FEF"/>
    <w:rsid w:val="00D05280"/>
    <w:rsid w:val="00D05F0A"/>
    <w:rsid w:val="00D062AF"/>
    <w:rsid w:val="00D12CDF"/>
    <w:rsid w:val="00D133FC"/>
    <w:rsid w:val="00D14692"/>
    <w:rsid w:val="00D16EBC"/>
    <w:rsid w:val="00D17161"/>
    <w:rsid w:val="00D2496F"/>
    <w:rsid w:val="00D25B48"/>
    <w:rsid w:val="00D32410"/>
    <w:rsid w:val="00D35128"/>
    <w:rsid w:val="00D41BBE"/>
    <w:rsid w:val="00D43227"/>
    <w:rsid w:val="00D43B7F"/>
    <w:rsid w:val="00D456D6"/>
    <w:rsid w:val="00D46040"/>
    <w:rsid w:val="00D47872"/>
    <w:rsid w:val="00D500BD"/>
    <w:rsid w:val="00D61413"/>
    <w:rsid w:val="00D63B03"/>
    <w:rsid w:val="00D65AF2"/>
    <w:rsid w:val="00D73DB6"/>
    <w:rsid w:val="00D818E0"/>
    <w:rsid w:val="00D821CA"/>
    <w:rsid w:val="00D8261B"/>
    <w:rsid w:val="00D82CEE"/>
    <w:rsid w:val="00D8352D"/>
    <w:rsid w:val="00D85139"/>
    <w:rsid w:val="00D8561A"/>
    <w:rsid w:val="00D86C5E"/>
    <w:rsid w:val="00D87278"/>
    <w:rsid w:val="00D87A14"/>
    <w:rsid w:val="00D94989"/>
    <w:rsid w:val="00D9590C"/>
    <w:rsid w:val="00D97900"/>
    <w:rsid w:val="00DA0CB4"/>
    <w:rsid w:val="00DA6FAC"/>
    <w:rsid w:val="00DB0720"/>
    <w:rsid w:val="00DB78F0"/>
    <w:rsid w:val="00DC07FF"/>
    <w:rsid w:val="00DC2B08"/>
    <w:rsid w:val="00DC2F5D"/>
    <w:rsid w:val="00DC5144"/>
    <w:rsid w:val="00DC6741"/>
    <w:rsid w:val="00DC6C0C"/>
    <w:rsid w:val="00DD180D"/>
    <w:rsid w:val="00DD7302"/>
    <w:rsid w:val="00DD7816"/>
    <w:rsid w:val="00DD7AFF"/>
    <w:rsid w:val="00DD7E9E"/>
    <w:rsid w:val="00DE0556"/>
    <w:rsid w:val="00DE1133"/>
    <w:rsid w:val="00DE3FD6"/>
    <w:rsid w:val="00DE585E"/>
    <w:rsid w:val="00DE7797"/>
    <w:rsid w:val="00DF25B6"/>
    <w:rsid w:val="00DF2B60"/>
    <w:rsid w:val="00DF3E2E"/>
    <w:rsid w:val="00DF4DE0"/>
    <w:rsid w:val="00DF4FA2"/>
    <w:rsid w:val="00DF5CDE"/>
    <w:rsid w:val="00E01A78"/>
    <w:rsid w:val="00E05321"/>
    <w:rsid w:val="00E05E08"/>
    <w:rsid w:val="00E07B9F"/>
    <w:rsid w:val="00E236BB"/>
    <w:rsid w:val="00E23805"/>
    <w:rsid w:val="00E24FB5"/>
    <w:rsid w:val="00E26945"/>
    <w:rsid w:val="00E278A9"/>
    <w:rsid w:val="00E363C2"/>
    <w:rsid w:val="00E373DE"/>
    <w:rsid w:val="00E40BE4"/>
    <w:rsid w:val="00E43FAF"/>
    <w:rsid w:val="00E46520"/>
    <w:rsid w:val="00E5221E"/>
    <w:rsid w:val="00E53E8D"/>
    <w:rsid w:val="00E56E6A"/>
    <w:rsid w:val="00E612AF"/>
    <w:rsid w:val="00E6336E"/>
    <w:rsid w:val="00E673BC"/>
    <w:rsid w:val="00E70751"/>
    <w:rsid w:val="00E7161D"/>
    <w:rsid w:val="00E72E08"/>
    <w:rsid w:val="00E75E78"/>
    <w:rsid w:val="00E76D98"/>
    <w:rsid w:val="00E87276"/>
    <w:rsid w:val="00E94137"/>
    <w:rsid w:val="00E97B94"/>
    <w:rsid w:val="00EA039E"/>
    <w:rsid w:val="00EA19B7"/>
    <w:rsid w:val="00EB1135"/>
    <w:rsid w:val="00EB3495"/>
    <w:rsid w:val="00EB5AB7"/>
    <w:rsid w:val="00EC0A42"/>
    <w:rsid w:val="00EC5906"/>
    <w:rsid w:val="00EC593D"/>
    <w:rsid w:val="00EC6BE7"/>
    <w:rsid w:val="00EC6CC4"/>
    <w:rsid w:val="00ED0B6A"/>
    <w:rsid w:val="00ED1FA2"/>
    <w:rsid w:val="00ED24BE"/>
    <w:rsid w:val="00ED2D78"/>
    <w:rsid w:val="00ED3472"/>
    <w:rsid w:val="00ED5CD0"/>
    <w:rsid w:val="00EE136E"/>
    <w:rsid w:val="00EE41A6"/>
    <w:rsid w:val="00EE5E14"/>
    <w:rsid w:val="00EF03EF"/>
    <w:rsid w:val="00EF147E"/>
    <w:rsid w:val="00EF210A"/>
    <w:rsid w:val="00EF3483"/>
    <w:rsid w:val="00EF4773"/>
    <w:rsid w:val="00EF6493"/>
    <w:rsid w:val="00EF7E17"/>
    <w:rsid w:val="00F0085A"/>
    <w:rsid w:val="00F01F91"/>
    <w:rsid w:val="00F02960"/>
    <w:rsid w:val="00F04852"/>
    <w:rsid w:val="00F07CB6"/>
    <w:rsid w:val="00F07D0A"/>
    <w:rsid w:val="00F110EF"/>
    <w:rsid w:val="00F119DB"/>
    <w:rsid w:val="00F15B5E"/>
    <w:rsid w:val="00F16153"/>
    <w:rsid w:val="00F17423"/>
    <w:rsid w:val="00F22D9A"/>
    <w:rsid w:val="00F24FB5"/>
    <w:rsid w:val="00F264FE"/>
    <w:rsid w:val="00F2699C"/>
    <w:rsid w:val="00F31ED6"/>
    <w:rsid w:val="00F32D94"/>
    <w:rsid w:val="00F3594C"/>
    <w:rsid w:val="00F360A7"/>
    <w:rsid w:val="00F36B16"/>
    <w:rsid w:val="00F40594"/>
    <w:rsid w:val="00F4229C"/>
    <w:rsid w:val="00F42839"/>
    <w:rsid w:val="00F45C3C"/>
    <w:rsid w:val="00F46C75"/>
    <w:rsid w:val="00F50EF3"/>
    <w:rsid w:val="00F512F2"/>
    <w:rsid w:val="00F516FA"/>
    <w:rsid w:val="00F55DE8"/>
    <w:rsid w:val="00F617CA"/>
    <w:rsid w:val="00F624B2"/>
    <w:rsid w:val="00F64136"/>
    <w:rsid w:val="00F659F1"/>
    <w:rsid w:val="00F65C60"/>
    <w:rsid w:val="00F66418"/>
    <w:rsid w:val="00F66807"/>
    <w:rsid w:val="00F72F02"/>
    <w:rsid w:val="00F75192"/>
    <w:rsid w:val="00F75764"/>
    <w:rsid w:val="00F817C2"/>
    <w:rsid w:val="00F81AC4"/>
    <w:rsid w:val="00F8384C"/>
    <w:rsid w:val="00F84819"/>
    <w:rsid w:val="00F857A2"/>
    <w:rsid w:val="00F96E84"/>
    <w:rsid w:val="00FA1803"/>
    <w:rsid w:val="00FA4AD9"/>
    <w:rsid w:val="00FB2086"/>
    <w:rsid w:val="00FB4589"/>
    <w:rsid w:val="00FB54C4"/>
    <w:rsid w:val="00FB54F7"/>
    <w:rsid w:val="00FB659F"/>
    <w:rsid w:val="00FB6875"/>
    <w:rsid w:val="00FB6E2D"/>
    <w:rsid w:val="00FC0F67"/>
    <w:rsid w:val="00FC1212"/>
    <w:rsid w:val="00FD0E54"/>
    <w:rsid w:val="00FD7743"/>
    <w:rsid w:val="00FD7BA6"/>
    <w:rsid w:val="00FE0779"/>
    <w:rsid w:val="00FE26B8"/>
    <w:rsid w:val="00FE2DB6"/>
    <w:rsid w:val="00FF0551"/>
    <w:rsid w:val="01902F9A"/>
    <w:rsid w:val="01AA1193"/>
    <w:rsid w:val="01B87F15"/>
    <w:rsid w:val="02E84657"/>
    <w:rsid w:val="04EA1220"/>
    <w:rsid w:val="05025778"/>
    <w:rsid w:val="050729EE"/>
    <w:rsid w:val="05613362"/>
    <w:rsid w:val="05867D23"/>
    <w:rsid w:val="0663130A"/>
    <w:rsid w:val="067D2B36"/>
    <w:rsid w:val="06A74829"/>
    <w:rsid w:val="08730E67"/>
    <w:rsid w:val="08744BDF"/>
    <w:rsid w:val="08C6543B"/>
    <w:rsid w:val="09616F12"/>
    <w:rsid w:val="0A03621B"/>
    <w:rsid w:val="0A912E24"/>
    <w:rsid w:val="0AE43368"/>
    <w:rsid w:val="0AEF054D"/>
    <w:rsid w:val="0AF90C35"/>
    <w:rsid w:val="0B735B06"/>
    <w:rsid w:val="0B852E44"/>
    <w:rsid w:val="0C37664F"/>
    <w:rsid w:val="0C5745FC"/>
    <w:rsid w:val="0D6B54E2"/>
    <w:rsid w:val="0D890310"/>
    <w:rsid w:val="0EC51CF1"/>
    <w:rsid w:val="0EC904B2"/>
    <w:rsid w:val="0ECF9C51"/>
    <w:rsid w:val="0FA0084C"/>
    <w:rsid w:val="0FC655CA"/>
    <w:rsid w:val="10240C99"/>
    <w:rsid w:val="10376C1E"/>
    <w:rsid w:val="10A06571"/>
    <w:rsid w:val="10A844BB"/>
    <w:rsid w:val="118934A9"/>
    <w:rsid w:val="125C6E3D"/>
    <w:rsid w:val="15853F88"/>
    <w:rsid w:val="16044149"/>
    <w:rsid w:val="160C6457"/>
    <w:rsid w:val="177B05D3"/>
    <w:rsid w:val="181C1F65"/>
    <w:rsid w:val="18BB4304"/>
    <w:rsid w:val="18E83693"/>
    <w:rsid w:val="18FE652B"/>
    <w:rsid w:val="190653E0"/>
    <w:rsid w:val="192D6E10"/>
    <w:rsid w:val="1A3766A7"/>
    <w:rsid w:val="1B244243"/>
    <w:rsid w:val="1B6D1746"/>
    <w:rsid w:val="1C060510"/>
    <w:rsid w:val="1CBA4ED1"/>
    <w:rsid w:val="1D40232F"/>
    <w:rsid w:val="1D7C713F"/>
    <w:rsid w:val="1D884F5D"/>
    <w:rsid w:val="1DA648B5"/>
    <w:rsid w:val="1DCA2E80"/>
    <w:rsid w:val="1DE5415D"/>
    <w:rsid w:val="1E080442"/>
    <w:rsid w:val="1EC26779"/>
    <w:rsid w:val="1F176005"/>
    <w:rsid w:val="1F332123"/>
    <w:rsid w:val="1F3E7839"/>
    <w:rsid w:val="1F4F3F4D"/>
    <w:rsid w:val="1FF95C9E"/>
    <w:rsid w:val="200A3A07"/>
    <w:rsid w:val="205E01F7"/>
    <w:rsid w:val="20AC0F62"/>
    <w:rsid w:val="21126DC5"/>
    <w:rsid w:val="22BE22DF"/>
    <w:rsid w:val="22DB168B"/>
    <w:rsid w:val="22EA2B99"/>
    <w:rsid w:val="2339170E"/>
    <w:rsid w:val="240A0880"/>
    <w:rsid w:val="24B57D8B"/>
    <w:rsid w:val="25BA7C7E"/>
    <w:rsid w:val="25BC57A4"/>
    <w:rsid w:val="26C36FCE"/>
    <w:rsid w:val="27A209C9"/>
    <w:rsid w:val="289B1FE8"/>
    <w:rsid w:val="28BE7A85"/>
    <w:rsid w:val="292F2731"/>
    <w:rsid w:val="29742E41"/>
    <w:rsid w:val="2987431B"/>
    <w:rsid w:val="29D87A35"/>
    <w:rsid w:val="2A901791"/>
    <w:rsid w:val="2A97233B"/>
    <w:rsid w:val="2BD90E29"/>
    <w:rsid w:val="2BE5357A"/>
    <w:rsid w:val="2C2916B9"/>
    <w:rsid w:val="2C82275F"/>
    <w:rsid w:val="2C915FBD"/>
    <w:rsid w:val="2D265BF9"/>
    <w:rsid w:val="2D630BFB"/>
    <w:rsid w:val="2DBB27E5"/>
    <w:rsid w:val="2DF301D1"/>
    <w:rsid w:val="2F0D7070"/>
    <w:rsid w:val="2F5042EA"/>
    <w:rsid w:val="2FAF555E"/>
    <w:rsid w:val="307F161F"/>
    <w:rsid w:val="30E03A5F"/>
    <w:rsid w:val="30E67B79"/>
    <w:rsid w:val="31230DCD"/>
    <w:rsid w:val="31A83080"/>
    <w:rsid w:val="31AF35CC"/>
    <w:rsid w:val="320F75A3"/>
    <w:rsid w:val="32DA195F"/>
    <w:rsid w:val="33291ABB"/>
    <w:rsid w:val="337E053C"/>
    <w:rsid w:val="339C4E66"/>
    <w:rsid w:val="340D0EAD"/>
    <w:rsid w:val="343B35D3"/>
    <w:rsid w:val="352D221A"/>
    <w:rsid w:val="354C012B"/>
    <w:rsid w:val="35A40002"/>
    <w:rsid w:val="35E5067E"/>
    <w:rsid w:val="35F745D6"/>
    <w:rsid w:val="362D1D44"/>
    <w:rsid w:val="3679148F"/>
    <w:rsid w:val="36E64C78"/>
    <w:rsid w:val="37173543"/>
    <w:rsid w:val="37384EA6"/>
    <w:rsid w:val="37704640"/>
    <w:rsid w:val="37AD41FB"/>
    <w:rsid w:val="37E66402"/>
    <w:rsid w:val="37FE7E9E"/>
    <w:rsid w:val="38AC0D3A"/>
    <w:rsid w:val="39657AA9"/>
    <w:rsid w:val="39E62997"/>
    <w:rsid w:val="3CC05722"/>
    <w:rsid w:val="3CCD23D1"/>
    <w:rsid w:val="3CED2111"/>
    <w:rsid w:val="3D152561"/>
    <w:rsid w:val="3D22462E"/>
    <w:rsid w:val="3D36035C"/>
    <w:rsid w:val="3E8B4DAF"/>
    <w:rsid w:val="3EFA73E4"/>
    <w:rsid w:val="3F1B5F57"/>
    <w:rsid w:val="3F991334"/>
    <w:rsid w:val="3FF76880"/>
    <w:rsid w:val="400B21AB"/>
    <w:rsid w:val="40126448"/>
    <w:rsid w:val="40B00C12"/>
    <w:rsid w:val="41AA7574"/>
    <w:rsid w:val="41F8770C"/>
    <w:rsid w:val="42B441A5"/>
    <w:rsid w:val="4322138A"/>
    <w:rsid w:val="43EA1ABA"/>
    <w:rsid w:val="443B53BB"/>
    <w:rsid w:val="44550E45"/>
    <w:rsid w:val="44F7014F"/>
    <w:rsid w:val="45132AAF"/>
    <w:rsid w:val="45B86F41"/>
    <w:rsid w:val="46BF5092"/>
    <w:rsid w:val="46EE736E"/>
    <w:rsid w:val="47430C78"/>
    <w:rsid w:val="4746684B"/>
    <w:rsid w:val="475A2C17"/>
    <w:rsid w:val="47BC742D"/>
    <w:rsid w:val="47F866B8"/>
    <w:rsid w:val="482E51ED"/>
    <w:rsid w:val="490B4CB5"/>
    <w:rsid w:val="49532B7D"/>
    <w:rsid w:val="499D20A7"/>
    <w:rsid w:val="49A14B2D"/>
    <w:rsid w:val="49B74350"/>
    <w:rsid w:val="4A2826E7"/>
    <w:rsid w:val="4A5A6A4C"/>
    <w:rsid w:val="4ADA6548"/>
    <w:rsid w:val="4B7047B7"/>
    <w:rsid w:val="4B7A6783"/>
    <w:rsid w:val="4B9656D2"/>
    <w:rsid w:val="4BA24657"/>
    <w:rsid w:val="4BE56F53"/>
    <w:rsid w:val="4BE773EF"/>
    <w:rsid w:val="4C226976"/>
    <w:rsid w:val="4C6A60A7"/>
    <w:rsid w:val="4C8C1F62"/>
    <w:rsid w:val="4CA7245A"/>
    <w:rsid w:val="4DB438F6"/>
    <w:rsid w:val="5015592D"/>
    <w:rsid w:val="5023629C"/>
    <w:rsid w:val="50953002"/>
    <w:rsid w:val="5099030C"/>
    <w:rsid w:val="512603EB"/>
    <w:rsid w:val="513C03D8"/>
    <w:rsid w:val="513D4CBA"/>
    <w:rsid w:val="51AB479B"/>
    <w:rsid w:val="521A3F55"/>
    <w:rsid w:val="5242431B"/>
    <w:rsid w:val="5254506D"/>
    <w:rsid w:val="52881262"/>
    <w:rsid w:val="52A75265"/>
    <w:rsid w:val="52C85D9B"/>
    <w:rsid w:val="52D703ED"/>
    <w:rsid w:val="533C1E10"/>
    <w:rsid w:val="536D7D8F"/>
    <w:rsid w:val="53B45597"/>
    <w:rsid w:val="53EB40C4"/>
    <w:rsid w:val="550B5550"/>
    <w:rsid w:val="5558352D"/>
    <w:rsid w:val="55882629"/>
    <w:rsid w:val="55CF4A91"/>
    <w:rsid w:val="565F3DA6"/>
    <w:rsid w:val="566E5D97"/>
    <w:rsid w:val="569A2028"/>
    <w:rsid w:val="56C21DFB"/>
    <w:rsid w:val="56F37D7A"/>
    <w:rsid w:val="5712650C"/>
    <w:rsid w:val="57747117"/>
    <w:rsid w:val="57C33EC0"/>
    <w:rsid w:val="5876553D"/>
    <w:rsid w:val="58BC1C62"/>
    <w:rsid w:val="59343A3D"/>
    <w:rsid w:val="5AB063C0"/>
    <w:rsid w:val="5AEE74A6"/>
    <w:rsid w:val="5B284B59"/>
    <w:rsid w:val="5B2F14ED"/>
    <w:rsid w:val="5C4A5080"/>
    <w:rsid w:val="5C567A90"/>
    <w:rsid w:val="5C6E089F"/>
    <w:rsid w:val="5C841E70"/>
    <w:rsid w:val="5CB12EBC"/>
    <w:rsid w:val="5D162E69"/>
    <w:rsid w:val="5D424D21"/>
    <w:rsid w:val="5D76020A"/>
    <w:rsid w:val="5DDD37CB"/>
    <w:rsid w:val="5DF71C2A"/>
    <w:rsid w:val="5E2C0A11"/>
    <w:rsid w:val="5E5C149E"/>
    <w:rsid w:val="5E714CE5"/>
    <w:rsid w:val="5E820631"/>
    <w:rsid w:val="5F2621A2"/>
    <w:rsid w:val="5F9E76ED"/>
    <w:rsid w:val="61504A17"/>
    <w:rsid w:val="61AE798F"/>
    <w:rsid w:val="6232236E"/>
    <w:rsid w:val="63507275"/>
    <w:rsid w:val="64C07447"/>
    <w:rsid w:val="64CC0858"/>
    <w:rsid w:val="660F75AE"/>
    <w:rsid w:val="66E63727"/>
    <w:rsid w:val="6718660F"/>
    <w:rsid w:val="68BE6FD5"/>
    <w:rsid w:val="68D91796"/>
    <w:rsid w:val="6A2F6364"/>
    <w:rsid w:val="6A640364"/>
    <w:rsid w:val="6BFE69A9"/>
    <w:rsid w:val="6C1E7194"/>
    <w:rsid w:val="6CCC5F96"/>
    <w:rsid w:val="6CF3721F"/>
    <w:rsid w:val="6CFE33BF"/>
    <w:rsid w:val="6D5C2995"/>
    <w:rsid w:val="6DFA6436"/>
    <w:rsid w:val="6E122EDE"/>
    <w:rsid w:val="6E2229DE"/>
    <w:rsid w:val="6EEF1D13"/>
    <w:rsid w:val="6F934EE2"/>
    <w:rsid w:val="6FA348AB"/>
    <w:rsid w:val="6FAC3469"/>
    <w:rsid w:val="6FB022BE"/>
    <w:rsid w:val="6FF4E41B"/>
    <w:rsid w:val="702E0619"/>
    <w:rsid w:val="71DB5FF0"/>
    <w:rsid w:val="72964253"/>
    <w:rsid w:val="74363F40"/>
    <w:rsid w:val="745A5E80"/>
    <w:rsid w:val="74640AAD"/>
    <w:rsid w:val="751853F4"/>
    <w:rsid w:val="756A5F5C"/>
    <w:rsid w:val="75DC333C"/>
    <w:rsid w:val="76072156"/>
    <w:rsid w:val="768371E5"/>
    <w:rsid w:val="76901570"/>
    <w:rsid w:val="77065E4C"/>
    <w:rsid w:val="773E2AC2"/>
    <w:rsid w:val="77947ACA"/>
    <w:rsid w:val="77F4B97E"/>
    <w:rsid w:val="7875699D"/>
    <w:rsid w:val="78964BAE"/>
    <w:rsid w:val="79944110"/>
    <w:rsid w:val="79C61785"/>
    <w:rsid w:val="7AB7FF50"/>
    <w:rsid w:val="7B58479C"/>
    <w:rsid w:val="7BDC717B"/>
    <w:rsid w:val="7BFA5853"/>
    <w:rsid w:val="7BFEB0DB"/>
    <w:rsid w:val="7D2A6AD2"/>
    <w:rsid w:val="7D6B4A31"/>
    <w:rsid w:val="7DAE4B47"/>
    <w:rsid w:val="7DB66CC7"/>
    <w:rsid w:val="7E7F1AD5"/>
    <w:rsid w:val="7ECE03DE"/>
    <w:rsid w:val="7F460DAF"/>
    <w:rsid w:val="7F517E80"/>
    <w:rsid w:val="7FFF3306"/>
    <w:rsid w:val="BB1E2D9B"/>
    <w:rsid w:val="BFFDCB75"/>
    <w:rsid w:val="C36F37B1"/>
    <w:rsid w:val="CEFD3F3D"/>
    <w:rsid w:val="EA3F77F2"/>
    <w:rsid w:val="EEFE5989"/>
    <w:rsid w:val="EFCF3EAE"/>
    <w:rsid w:val="F5B764A2"/>
    <w:rsid w:val="F77F09F4"/>
    <w:rsid w:val="FEDB5406"/>
    <w:rsid w:val="FF3D99E1"/>
    <w:rsid w:val="FFD7BFFC"/>
    <w:rsid w:val="FFF7E8A9"/>
    <w:rsid w:val="FFFF05F8"/>
    <w:rsid w:val="FFFF3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7"/>
    <w:qFormat/>
    <w:uiPriority w:val="0"/>
    <w:pPr>
      <w:jc w:val="left"/>
    </w:pPr>
    <w:rPr>
      <w:szCs w:val="24"/>
    </w:rPr>
  </w:style>
  <w:style w:type="paragraph" w:styleId="4">
    <w:name w:val="Body Text"/>
    <w:basedOn w:val="1"/>
    <w:link w:val="29"/>
    <w:qFormat/>
    <w:uiPriority w:val="99"/>
    <w:rPr>
      <w:rFonts w:eastAsia="仿宋_GB2312" w:asciiTheme="minorHAnsi" w:hAnsiTheme="minorHAnsi" w:cstheme="minorBidi"/>
      <w:sz w:val="24"/>
      <w:szCs w:val="20"/>
    </w:rPr>
  </w:style>
  <w:style w:type="paragraph" w:styleId="5">
    <w:name w:val="toc 3"/>
    <w:basedOn w:val="1"/>
    <w:next w:val="1"/>
    <w:qFormat/>
    <w:uiPriority w:val="39"/>
    <w:pPr>
      <w:ind w:left="840" w:leftChars="400"/>
    </w:pPr>
    <w:rPr>
      <w:szCs w:val="24"/>
    </w:rPr>
  </w:style>
  <w:style w:type="paragraph" w:styleId="6">
    <w:name w:val="Plain Text"/>
    <w:basedOn w:val="1"/>
    <w:link w:val="25"/>
    <w:qFormat/>
    <w:uiPriority w:val="0"/>
    <w:rPr>
      <w:rFonts w:ascii="宋体" w:hAnsi="Courier New" w:cs="Courier New"/>
    </w:rPr>
  </w:style>
  <w:style w:type="paragraph" w:styleId="7">
    <w:name w:val="Balloon Text"/>
    <w:basedOn w:val="1"/>
    <w:link w:val="33"/>
    <w:qFormat/>
    <w:uiPriority w:val="0"/>
    <w:rPr>
      <w:sz w:val="18"/>
      <w:szCs w:val="18"/>
    </w:rPr>
  </w:style>
  <w:style w:type="paragraph" w:styleId="8">
    <w:name w:val="footer"/>
    <w:basedOn w:val="1"/>
    <w:link w:val="3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4"/>
    </w:rPr>
  </w:style>
  <w:style w:type="paragraph" w:styleId="10">
    <w:name w:val="toc 1"/>
    <w:basedOn w:val="1"/>
    <w:next w:val="1"/>
    <w:qFormat/>
    <w:uiPriority w:val="39"/>
    <w:rPr>
      <w:szCs w:val="24"/>
    </w:rPr>
  </w:style>
  <w:style w:type="paragraph" w:styleId="11">
    <w:name w:val="footnote text"/>
    <w:basedOn w:val="1"/>
    <w:link w:val="23"/>
    <w:qFormat/>
    <w:uiPriority w:val="0"/>
    <w:pPr>
      <w:snapToGrid w:val="0"/>
      <w:jc w:val="left"/>
    </w:pPr>
    <w:rPr>
      <w:sz w:val="18"/>
      <w:szCs w:val="18"/>
    </w:rPr>
  </w:style>
  <w:style w:type="paragraph" w:styleId="12">
    <w:name w:val="toc 2"/>
    <w:basedOn w:val="1"/>
    <w:next w:val="1"/>
    <w:qFormat/>
    <w:uiPriority w:val="39"/>
    <w:pPr>
      <w:ind w:left="420" w:leftChars="200"/>
    </w:pPr>
    <w:rPr>
      <w:szCs w:val="24"/>
    </w:rPr>
  </w:style>
  <w:style w:type="paragraph" w:styleId="13">
    <w:name w:val="Normal (Web)"/>
    <w:basedOn w:val="1"/>
    <w:qFormat/>
    <w:uiPriority w:val="0"/>
    <w:rPr>
      <w:sz w:val="24"/>
    </w:rPr>
  </w:style>
  <w:style w:type="paragraph" w:styleId="14">
    <w:name w:val="annotation subject"/>
    <w:basedOn w:val="3"/>
    <w:next w:val="3"/>
    <w:link w:val="28"/>
    <w:qFormat/>
    <w:uiPriority w:val="0"/>
    <w:rPr>
      <w:b/>
      <w:bCs/>
    </w:rPr>
  </w:style>
  <w:style w:type="table" w:styleId="16">
    <w:name w:val="Table Grid"/>
    <w:basedOn w:val="1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qFormat/>
    <w:uiPriority w:val="0"/>
    <w:rPr>
      <w:sz w:val="21"/>
      <w:szCs w:val="21"/>
    </w:rPr>
  </w:style>
  <w:style w:type="character" w:styleId="21">
    <w:name w:val="footnote reference"/>
    <w:unhideWhenUsed/>
    <w:qFormat/>
    <w:uiPriority w:val="99"/>
    <w:rPr>
      <w:vertAlign w:val="superscript"/>
    </w:rPr>
  </w:style>
  <w:style w:type="paragraph" w:customStyle="1" w:styleId="22">
    <w:name w:val="列出段落1"/>
    <w:basedOn w:val="1"/>
    <w:qFormat/>
    <w:uiPriority w:val="34"/>
    <w:pPr>
      <w:ind w:firstLine="420" w:firstLineChars="200"/>
    </w:pPr>
    <w:rPr>
      <w:rFonts w:ascii="Calibri" w:hAnsi="Calibri" w:cs="黑体"/>
      <w:szCs w:val="22"/>
    </w:rPr>
  </w:style>
  <w:style w:type="character" w:customStyle="1" w:styleId="23">
    <w:name w:val="脚注文本 字符"/>
    <w:basedOn w:val="17"/>
    <w:link w:val="11"/>
    <w:qFormat/>
    <w:uiPriority w:val="0"/>
    <w:rPr>
      <w:rFonts w:ascii="Times New Roman" w:hAnsi="Times New Roman" w:eastAsia="宋体" w:cs="Times New Roman"/>
      <w:kern w:val="2"/>
      <w:sz w:val="18"/>
      <w:szCs w:val="18"/>
    </w:rPr>
  </w:style>
  <w:style w:type="paragraph" w:styleId="24">
    <w:name w:val="List Paragraph"/>
    <w:basedOn w:val="1"/>
    <w:qFormat/>
    <w:uiPriority w:val="99"/>
    <w:pPr>
      <w:ind w:firstLine="420" w:firstLineChars="200"/>
    </w:pPr>
    <w:rPr>
      <w:rFonts w:eastAsia="仿宋_GB2312" w:cstheme="minorBidi"/>
      <w:sz w:val="30"/>
      <w:szCs w:val="24"/>
    </w:rPr>
  </w:style>
  <w:style w:type="character" w:customStyle="1" w:styleId="25">
    <w:name w:val="纯文本 字符"/>
    <w:link w:val="6"/>
    <w:qFormat/>
    <w:locked/>
    <w:uiPriority w:val="0"/>
    <w:rPr>
      <w:rFonts w:ascii="宋体" w:hAnsi="Courier New" w:eastAsia="宋体" w:cs="Courier New"/>
      <w:kern w:val="2"/>
      <w:sz w:val="21"/>
      <w:szCs w:val="21"/>
    </w:rPr>
  </w:style>
  <w:style w:type="character" w:customStyle="1" w:styleId="26">
    <w:name w:val="纯文本 字符1"/>
    <w:basedOn w:val="17"/>
    <w:qFormat/>
    <w:uiPriority w:val="0"/>
    <w:rPr>
      <w:rFonts w:hAnsi="Courier New" w:cs="Courier New" w:asciiTheme="minorEastAsia"/>
      <w:kern w:val="2"/>
      <w:sz w:val="21"/>
      <w:szCs w:val="24"/>
    </w:rPr>
  </w:style>
  <w:style w:type="character" w:customStyle="1" w:styleId="27">
    <w:name w:val="批注文字 字符"/>
    <w:basedOn w:val="17"/>
    <w:link w:val="3"/>
    <w:qFormat/>
    <w:uiPriority w:val="0"/>
    <w:rPr>
      <w:rFonts w:ascii="Times New Roman" w:hAnsi="Times New Roman" w:eastAsia="宋体" w:cs="Times New Roman"/>
      <w:kern w:val="2"/>
      <w:sz w:val="21"/>
      <w:szCs w:val="24"/>
    </w:rPr>
  </w:style>
  <w:style w:type="character" w:customStyle="1" w:styleId="28">
    <w:name w:val="批注主题 字符"/>
    <w:basedOn w:val="27"/>
    <w:link w:val="14"/>
    <w:qFormat/>
    <w:uiPriority w:val="0"/>
    <w:rPr>
      <w:rFonts w:ascii="Times New Roman" w:hAnsi="Times New Roman" w:eastAsia="宋体" w:cs="Times New Roman"/>
      <w:b/>
      <w:bCs/>
      <w:kern w:val="2"/>
      <w:sz w:val="21"/>
      <w:szCs w:val="24"/>
    </w:rPr>
  </w:style>
  <w:style w:type="character" w:customStyle="1" w:styleId="29">
    <w:name w:val="正文文本 字符"/>
    <w:basedOn w:val="17"/>
    <w:link w:val="4"/>
    <w:qFormat/>
    <w:uiPriority w:val="99"/>
    <w:rPr>
      <w:rFonts w:eastAsia="仿宋_GB2312"/>
      <w:kern w:val="2"/>
      <w:sz w:val="24"/>
    </w:rPr>
  </w:style>
  <w:style w:type="paragraph" w:customStyle="1" w:styleId="30">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页脚 字符"/>
    <w:basedOn w:val="17"/>
    <w:link w:val="8"/>
    <w:qFormat/>
    <w:uiPriority w:val="99"/>
    <w:rPr>
      <w:rFonts w:ascii="Times New Roman" w:hAnsi="Times New Roman" w:eastAsia="宋体" w:cs="Times New Roman"/>
      <w:kern w:val="2"/>
      <w:sz w:val="18"/>
    </w:rPr>
  </w:style>
  <w:style w:type="paragraph" w:customStyle="1" w:styleId="3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批注框文本 字符"/>
    <w:basedOn w:val="17"/>
    <w:link w:val="7"/>
    <w:qFormat/>
    <w:uiPriority w:val="0"/>
    <w:rPr>
      <w:rFonts w:ascii="Times New Roman" w:hAnsi="Times New Roman" w:eastAsia="宋体" w:cs="Times New Roman"/>
      <w:kern w:val="2"/>
      <w:sz w:val="18"/>
      <w:szCs w:val="18"/>
    </w:rPr>
  </w:style>
  <w:style w:type="paragraph" w:customStyle="1" w:styleId="34">
    <w:name w:val="修订2"/>
    <w:hidden/>
    <w:unhideWhenUsed/>
    <w:qFormat/>
    <w:uiPriority w:val="99"/>
    <w:rPr>
      <w:rFonts w:ascii="Times New Roman" w:hAnsi="Times New Roman" w:eastAsia="宋体" w:cs="Times New Roman"/>
      <w:kern w:val="2"/>
      <w:sz w:val="21"/>
      <w:szCs w:val="21"/>
      <w:lang w:val="en-US" w:eastAsia="zh-CN" w:bidi="ar-SA"/>
    </w:rPr>
  </w:style>
  <w:style w:type="character" w:customStyle="1" w:styleId="35">
    <w:name w:val="font21"/>
    <w:basedOn w:val="17"/>
    <w:qFormat/>
    <w:uiPriority w:val="0"/>
    <w:rPr>
      <w:rFonts w:hint="eastAsia" w:ascii="宋体" w:hAnsi="宋体" w:eastAsia="宋体" w:cs="宋体"/>
      <w:color w:val="000000"/>
      <w:sz w:val="20"/>
      <w:szCs w:val="20"/>
      <w:u w:val="none"/>
    </w:rPr>
  </w:style>
  <w:style w:type="character" w:customStyle="1" w:styleId="36">
    <w:name w:val="font11"/>
    <w:basedOn w:val="17"/>
    <w:qFormat/>
    <w:uiPriority w:val="0"/>
    <w:rPr>
      <w:rFonts w:hint="eastAsia" w:ascii="宋体" w:hAnsi="宋体" w:eastAsia="宋体" w:cs="宋体"/>
      <w:b/>
      <w:bCs/>
      <w:color w:val="000000"/>
      <w:sz w:val="20"/>
      <w:szCs w:val="20"/>
      <w:u w:val="none"/>
    </w:rPr>
  </w:style>
  <w:style w:type="paragraph" w:customStyle="1" w:styleId="37">
    <w:name w:val="修订3"/>
    <w:hidden/>
    <w:unhideWhenUsed/>
    <w:qFormat/>
    <w:uiPriority w:val="99"/>
    <w:rPr>
      <w:rFonts w:ascii="Times New Roman" w:hAnsi="Times New Roman" w:eastAsia="宋体" w:cs="Times New Roman"/>
      <w:kern w:val="2"/>
      <w:sz w:val="21"/>
      <w:szCs w:val="21"/>
      <w:lang w:val="en-US" w:eastAsia="zh-CN" w:bidi="ar-SA"/>
    </w:rPr>
  </w:style>
  <w:style w:type="paragraph" w:customStyle="1" w:styleId="38">
    <w:name w:val="msolistparagraph"/>
    <w:basedOn w:val="1"/>
    <w:qFormat/>
    <w:uiPriority w:val="0"/>
    <w:pPr>
      <w:ind w:firstLine="420" w:firstLineChars="200"/>
    </w:pPr>
    <w:rPr>
      <w:rFonts w:eastAsia="仿宋_GB2312"/>
      <w:sz w:val="30"/>
      <w:szCs w:val="24"/>
    </w:rPr>
  </w:style>
  <w:style w:type="character" w:customStyle="1" w:styleId="39">
    <w:name w:val="font31"/>
    <w:basedOn w:val="17"/>
    <w:qFormat/>
    <w:uiPriority w:val="0"/>
    <w:rPr>
      <w:rFonts w:hint="eastAsia" w:ascii="宋体" w:hAnsi="宋体" w:eastAsia="宋体" w:cs="宋体"/>
      <w:color w:val="000000"/>
      <w:sz w:val="20"/>
      <w:szCs w:val="20"/>
      <w:u w:val="none"/>
    </w:rPr>
  </w:style>
  <w:style w:type="paragraph" w:customStyle="1" w:styleId="40">
    <w:name w:val="目录 11"/>
    <w:next w:val="1"/>
    <w:qFormat/>
    <w:uiPriority w:val="99"/>
    <w:pPr>
      <w:wordWrap w:val="0"/>
      <w:spacing w:line="300" w:lineRule="atLeast"/>
      <w:jc w:val="both"/>
    </w:pPr>
    <w:rPr>
      <w:rFonts w:ascii="Times New Roman" w:hAnsi="Times New Roman" w:eastAsia="宋体" w:cs="Times New Roman"/>
      <w:sz w:val="21"/>
      <w:szCs w:val="22"/>
      <w:lang w:val="en-US" w:eastAsia="zh-CN" w:bidi="ar-SA"/>
    </w:rPr>
  </w:style>
  <w:style w:type="paragraph" w:customStyle="1" w:styleId="41">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1689</Words>
  <Characters>1726</Characters>
  <Lines>1064</Lines>
  <Paragraphs>568</Paragraphs>
  <TotalTime>26</TotalTime>
  <ScaleCrop>false</ScaleCrop>
  <LinksUpToDate>false</LinksUpToDate>
  <CharactersWithSpaces>1726</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2022-06-08T03:06:00Z</dcterms:created>
  <dc:creator>user</dc:creator>
  <cp:lastModifiedBy>朱晓晶</cp:lastModifiedBy>
  <cp:lastPrinted>2022-06-10T15:41:00Z</cp:lastPrinted>
  <dcterms:modified xsi:type="dcterms:W3CDTF">2025-08-27T17:45:09Z</dcterms:modified>
  <cp:revision>263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32CFBBB2718C44E088360D82D1D723F0_13</vt:lpwstr>
  </property>
  <property fmtid="{D5CDD505-2E9C-101B-9397-08002B2CF9AE}" pid="4" name="KSOTemplateDocerSaveRecord">
    <vt:lpwstr>eyJoZGlkIjoiMGMyYzY4ZGEzZTNjNjkyZGZjYmNlMGY2ZWY4MjQ1NjAiLCJ1c2VySWQiOiIyMTg5MTMzODIifQ==</vt:lpwstr>
  </property>
</Properties>
</file>