
<file path=[Content_Types].xml><?xml version="1.0" encoding="utf-8"?>
<Types xmlns="http://schemas.openxmlformats.org/package/2006/content-types">
  <Default Extension="xml" ContentType="application/xml"/>
  <Default Extension="xlsx" ContentType="application/vnd.openxmlformats-officedocument.spreadsheetml.shee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embeddings/Microsoft_Visio___1.vsdx" ContentType="application/vnd.ms-visio.drawing"/>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2BC28">
      <w:pPr>
        <w:adjustRightInd w:val="0"/>
        <w:snapToGrid w:val="0"/>
        <w:spacing w:before="156" w:beforeLines="50" w:after="156" w:afterLines="50" w:line="360" w:lineRule="auto"/>
        <w:ind w:firstLine="1040"/>
        <w:jc w:val="center"/>
        <w:rPr>
          <w:rFonts w:eastAsia="黑体"/>
          <w:sz w:val="52"/>
          <w:szCs w:val="36"/>
        </w:rPr>
      </w:pPr>
    </w:p>
    <w:p w14:paraId="3F4FA5E2">
      <w:pPr>
        <w:adjustRightInd w:val="0"/>
        <w:snapToGrid w:val="0"/>
        <w:spacing w:before="156" w:beforeLines="50" w:after="156" w:afterLines="50" w:line="360" w:lineRule="auto"/>
        <w:ind w:firstLine="1040"/>
        <w:jc w:val="center"/>
        <w:rPr>
          <w:rFonts w:eastAsia="黑体"/>
          <w:sz w:val="52"/>
          <w:szCs w:val="36"/>
        </w:rPr>
      </w:pPr>
    </w:p>
    <w:p w14:paraId="55295336">
      <w:pPr>
        <w:tabs>
          <w:tab w:val="left" w:pos="1740"/>
          <w:tab w:val="center" w:pos="4153"/>
        </w:tabs>
        <w:adjustRightInd w:val="0"/>
        <w:snapToGrid w:val="0"/>
        <w:spacing w:before="156" w:beforeLines="50" w:after="156" w:afterLines="50" w:line="360" w:lineRule="auto"/>
        <w:ind w:firstLine="0"/>
        <w:jc w:val="center"/>
        <w:rPr>
          <w:rFonts w:ascii="楷体" w:hAnsi="楷体" w:eastAsia="楷体"/>
          <w:b/>
          <w:sz w:val="36"/>
          <w:szCs w:val="36"/>
          <w:lang w:val="zh-CN"/>
        </w:rPr>
      </w:pPr>
      <w:bookmarkStart w:id="0" w:name="_Hlk102901000"/>
      <w:r>
        <w:rPr>
          <w:rFonts w:hint="eastAsia" w:ascii="楷体" w:hAnsi="楷体" w:eastAsia="楷体"/>
          <w:b/>
          <w:sz w:val="36"/>
          <w:szCs w:val="36"/>
        </w:rPr>
        <w:t>北京市政务服务管理局</w:t>
      </w:r>
    </w:p>
    <w:bookmarkEnd w:id="0"/>
    <w:p w14:paraId="03A2B1D2">
      <w:pPr>
        <w:adjustRightInd w:val="0"/>
        <w:snapToGrid w:val="0"/>
        <w:spacing w:line="360" w:lineRule="auto"/>
        <w:ind w:firstLine="0"/>
        <w:jc w:val="center"/>
        <w:rPr>
          <w:rFonts w:ascii="楷体" w:hAnsi="楷体" w:eastAsia="楷体"/>
          <w:b/>
          <w:sz w:val="36"/>
          <w:szCs w:val="36"/>
          <w:lang w:val="zh-CN"/>
        </w:rPr>
      </w:pPr>
      <w:r>
        <w:rPr>
          <w:rFonts w:hint="eastAsia" w:ascii="楷体" w:hAnsi="楷体" w:eastAsia="楷体"/>
          <w:b/>
          <w:sz w:val="36"/>
          <w:szCs w:val="36"/>
        </w:rPr>
        <w:t>2023年度部门整体支出</w:t>
      </w:r>
    </w:p>
    <w:p w14:paraId="423216E6">
      <w:pPr>
        <w:adjustRightInd w:val="0"/>
        <w:snapToGrid w:val="0"/>
        <w:spacing w:line="360" w:lineRule="auto"/>
        <w:ind w:firstLine="0"/>
        <w:jc w:val="center"/>
        <w:rPr>
          <w:rFonts w:ascii="黑体" w:hAnsi="黑体" w:eastAsia="黑体"/>
          <w:b/>
          <w:sz w:val="72"/>
          <w:szCs w:val="72"/>
          <w:lang w:val="zh-CN"/>
        </w:rPr>
      </w:pPr>
      <w:r>
        <w:rPr>
          <w:rFonts w:hint="eastAsia" w:ascii="黑体" w:hAnsi="黑体" w:eastAsia="黑体"/>
          <w:b/>
          <w:sz w:val="72"/>
          <w:szCs w:val="72"/>
          <w:lang w:val="zh-CN"/>
        </w:rPr>
        <w:t>绩 效 评 价 报 告</w:t>
      </w:r>
    </w:p>
    <w:p w14:paraId="76691E9E">
      <w:pPr>
        <w:adjustRightInd w:val="0"/>
        <w:snapToGrid w:val="0"/>
        <w:spacing w:before="156" w:beforeLines="50" w:after="156" w:afterLines="50" w:line="360" w:lineRule="auto"/>
        <w:ind w:firstLine="1040"/>
        <w:jc w:val="center"/>
        <w:rPr>
          <w:rFonts w:eastAsia="黑体"/>
          <w:sz w:val="52"/>
          <w:szCs w:val="36"/>
        </w:rPr>
      </w:pPr>
    </w:p>
    <w:p w14:paraId="089883C0">
      <w:pPr>
        <w:adjustRightInd w:val="0"/>
        <w:snapToGrid w:val="0"/>
        <w:spacing w:before="156" w:beforeLines="50" w:after="156" w:afterLines="50" w:line="360" w:lineRule="auto"/>
        <w:ind w:firstLine="1040"/>
        <w:jc w:val="center"/>
        <w:rPr>
          <w:rFonts w:eastAsia="黑体"/>
          <w:sz w:val="52"/>
          <w:szCs w:val="36"/>
        </w:rPr>
      </w:pPr>
    </w:p>
    <w:p w14:paraId="03B5A084">
      <w:pPr>
        <w:adjustRightInd w:val="0"/>
        <w:snapToGrid w:val="0"/>
        <w:spacing w:before="156" w:beforeLines="50" w:after="156" w:afterLines="50" w:line="360" w:lineRule="auto"/>
        <w:ind w:firstLine="1040"/>
        <w:jc w:val="center"/>
        <w:rPr>
          <w:rFonts w:eastAsia="黑体"/>
          <w:sz w:val="52"/>
          <w:szCs w:val="36"/>
        </w:rPr>
      </w:pPr>
    </w:p>
    <w:p w14:paraId="1FBE0065">
      <w:pPr>
        <w:adjustRightInd w:val="0"/>
        <w:snapToGrid w:val="0"/>
        <w:spacing w:before="156" w:beforeLines="50" w:after="156" w:afterLines="50" w:line="360" w:lineRule="auto"/>
        <w:ind w:firstLine="1040"/>
        <w:jc w:val="center"/>
        <w:rPr>
          <w:rFonts w:eastAsia="黑体"/>
          <w:sz w:val="52"/>
          <w:szCs w:val="36"/>
        </w:rPr>
      </w:pPr>
    </w:p>
    <w:p w14:paraId="2CEC352A">
      <w:pPr>
        <w:adjustRightInd w:val="0"/>
        <w:snapToGrid w:val="0"/>
        <w:spacing w:before="156" w:beforeLines="50" w:after="156" w:afterLines="50" w:line="360" w:lineRule="auto"/>
        <w:ind w:firstLine="1040"/>
        <w:jc w:val="center"/>
        <w:rPr>
          <w:rFonts w:eastAsia="黑体"/>
          <w:sz w:val="52"/>
          <w:szCs w:val="36"/>
        </w:rPr>
      </w:pPr>
    </w:p>
    <w:p w14:paraId="6D75F682">
      <w:pPr>
        <w:adjustRightInd w:val="0"/>
        <w:snapToGrid w:val="0"/>
        <w:spacing w:line="360" w:lineRule="auto"/>
        <w:ind w:firstLine="0"/>
        <w:jc w:val="center"/>
        <w:rPr>
          <w:rFonts w:ascii="楷体" w:hAnsi="楷体" w:eastAsia="楷体"/>
          <w:b/>
          <w:sz w:val="44"/>
          <w:szCs w:val="44"/>
        </w:rPr>
      </w:pPr>
      <w:r>
        <w:rPr>
          <w:rFonts w:hint="eastAsia" w:ascii="楷体" w:hAnsi="楷体" w:eastAsia="楷体"/>
          <w:b/>
          <w:sz w:val="44"/>
          <w:szCs w:val="44"/>
        </w:rPr>
        <w:t>北京市政务服务管理局</w:t>
      </w:r>
    </w:p>
    <w:p w14:paraId="7CA65006">
      <w:pPr>
        <w:adjustRightInd w:val="0"/>
        <w:snapToGrid w:val="0"/>
        <w:spacing w:line="360" w:lineRule="auto"/>
        <w:ind w:firstLine="402"/>
        <w:jc w:val="center"/>
        <w:rPr>
          <w:rFonts w:ascii="楷体" w:hAnsi="楷体" w:eastAsia="楷体"/>
          <w:b/>
          <w:sz w:val="20"/>
          <w:szCs w:val="20"/>
          <w:lang w:val="zh-CN"/>
        </w:rPr>
      </w:pPr>
    </w:p>
    <w:p w14:paraId="4F90A08A">
      <w:pPr>
        <w:adjustRightInd w:val="0"/>
        <w:snapToGrid w:val="0"/>
        <w:spacing w:line="360" w:lineRule="auto"/>
        <w:ind w:firstLine="0"/>
        <w:jc w:val="center"/>
        <w:rPr>
          <w:rFonts w:ascii="仿宋_GB2312" w:hAnsi="仿宋"/>
          <w:b/>
          <w:sz w:val="32"/>
          <w:szCs w:val="32"/>
          <w:lang w:val="zh-CN"/>
        </w:rPr>
      </w:pPr>
      <w:r>
        <w:rPr>
          <w:rFonts w:hint="eastAsia" w:ascii="仿宋_GB2312" w:hAnsi="仿宋"/>
          <w:b/>
          <w:sz w:val="32"/>
          <w:szCs w:val="32"/>
          <w:lang w:val="zh-CN"/>
        </w:rPr>
        <w:t>20</w:t>
      </w:r>
      <w:r>
        <w:rPr>
          <w:rFonts w:ascii="仿宋_GB2312" w:hAnsi="仿宋"/>
          <w:b/>
          <w:sz w:val="32"/>
          <w:szCs w:val="32"/>
          <w:lang w:val="zh-CN"/>
        </w:rPr>
        <w:t>2</w:t>
      </w:r>
      <w:r>
        <w:rPr>
          <w:rFonts w:hint="eastAsia" w:ascii="仿宋_GB2312" w:hAnsi="仿宋"/>
          <w:b/>
          <w:sz w:val="32"/>
          <w:szCs w:val="32"/>
        </w:rPr>
        <w:t>4</w:t>
      </w:r>
      <w:r>
        <w:rPr>
          <w:rFonts w:hint="eastAsia" w:ascii="仿宋_GB2312" w:hAnsi="仿宋"/>
          <w:b/>
          <w:sz w:val="32"/>
          <w:szCs w:val="32"/>
          <w:lang w:val="zh-CN"/>
        </w:rPr>
        <w:t>年</w:t>
      </w:r>
      <w:r>
        <w:rPr>
          <w:rFonts w:ascii="仿宋_GB2312" w:hAnsi="仿宋"/>
          <w:b/>
          <w:sz w:val="32"/>
          <w:szCs w:val="32"/>
        </w:rPr>
        <w:t>5</w:t>
      </w:r>
      <w:r>
        <w:rPr>
          <w:rFonts w:hint="eastAsia" w:ascii="仿宋_GB2312" w:hAnsi="仿宋"/>
          <w:b/>
          <w:sz w:val="32"/>
          <w:szCs w:val="32"/>
          <w:lang w:val="zh-CN"/>
        </w:rPr>
        <w:t>月</w:t>
      </w:r>
    </w:p>
    <w:p w14:paraId="7A161390">
      <w:pPr>
        <w:spacing w:line="560" w:lineRule="exact"/>
        <w:ind w:firstLine="720"/>
        <w:jc w:val="center"/>
        <w:rPr>
          <w:rFonts w:eastAsia="黑体"/>
          <w:sz w:val="36"/>
          <w:szCs w:val="36"/>
        </w:rPr>
        <w:sectPr>
          <w:footerReference r:id="rId4" w:type="default"/>
          <w:pgSz w:w="11906" w:h="16838"/>
          <w:pgMar w:top="1440" w:right="1474" w:bottom="1440" w:left="1588" w:header="851" w:footer="992" w:gutter="0"/>
          <w:pgNumType w:fmt="numberInDash"/>
          <w:cols w:space="425" w:num="1"/>
          <w:docGrid w:type="lines" w:linePitch="312" w:charSpace="0"/>
        </w:sectPr>
      </w:pPr>
      <w:r>
        <w:rPr>
          <w:rFonts w:eastAsia="黑体"/>
          <w:sz w:val="36"/>
          <w:szCs w:val="36"/>
        </w:rPr>
        <w:br w:type="page"/>
      </w:r>
    </w:p>
    <w:p w14:paraId="6CA21FBE">
      <w:pPr>
        <w:spacing w:line="360" w:lineRule="auto"/>
        <w:jc w:val="center"/>
        <w:rPr>
          <w:rFonts w:ascii="黑体" w:hAnsi="黑体" w:eastAsia="黑体"/>
          <w:sz w:val="32"/>
          <w:szCs w:val="32"/>
        </w:rPr>
      </w:pPr>
      <w:r>
        <w:rPr>
          <w:rFonts w:hint="eastAsia" w:ascii="黑体" w:hAnsi="黑体" w:eastAsia="黑体"/>
          <w:sz w:val="32"/>
          <w:szCs w:val="32"/>
        </w:rPr>
        <w:t xml:space="preserve">目 </w:t>
      </w:r>
      <w:r>
        <w:rPr>
          <w:rFonts w:ascii="黑体" w:hAnsi="黑体" w:eastAsia="黑体"/>
          <w:sz w:val="32"/>
          <w:szCs w:val="32"/>
        </w:rPr>
        <w:t xml:space="preserve"> </w:t>
      </w:r>
      <w:r>
        <w:rPr>
          <w:rFonts w:hint="eastAsia" w:ascii="黑体" w:hAnsi="黑体" w:eastAsia="黑体"/>
          <w:sz w:val="32"/>
          <w:szCs w:val="32"/>
        </w:rPr>
        <w:t>录</w:t>
      </w:r>
    </w:p>
    <w:p w14:paraId="7DABE26B">
      <w:pPr>
        <w:pStyle w:val="10"/>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TOC \o "1-2" \h \z \u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_Toc9168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0"/>
          <w:sz w:val="32"/>
          <w:szCs w:val="32"/>
        </w:rPr>
        <w:t>一、部门概况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_Toc9168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475ACCBA">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_Toc14586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（一）机构设置及职责工作任务情况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_Toc14586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61EC3C06">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_Toc31265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（二）部门整体绩效目标设立情况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_Toc31265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0D47191C">
      <w:pPr>
        <w:pStyle w:val="10"/>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_Toc20970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0"/>
          <w:sz w:val="32"/>
          <w:szCs w:val="32"/>
        </w:rPr>
        <w:t>二、当年预算执行情况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_Toc20970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61FFCB43">
      <w:pPr>
        <w:pStyle w:val="10"/>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_Toc24899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0"/>
          <w:sz w:val="32"/>
          <w:szCs w:val="32"/>
        </w:rPr>
        <w:t>三、整体绩效目标实现情况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_Toc24899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2F6ED3FF">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_Toc30162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（一）产出完成情况分析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_Toc30162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7B43C885">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_Toc7238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（二）效果实现情况分析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_Toc7238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2D0EF4E3">
      <w:pPr>
        <w:pStyle w:val="10"/>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_Toc14518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0"/>
          <w:sz w:val="32"/>
          <w:szCs w:val="32"/>
        </w:rPr>
        <w:t>四、预算管理情况分析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_Toc14518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7816CC78">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_Toc16241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（一）财务管理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_Toc16241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6FF6917C">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_Toc13518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（二）资产管理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_Toc13518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49E01013">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_Toc7936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（三）绩效管理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_Toc7936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04E511CC">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_Toc3263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（四）结转结余率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_Toc3263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4A24008C">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_Toc23795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（五）部门预决算差异率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_Toc23795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77CE4D60">
      <w:pPr>
        <w:pStyle w:val="10"/>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_Toc1201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0"/>
          <w:sz w:val="32"/>
          <w:szCs w:val="32"/>
          <w:lang w:val="en-US" w:eastAsia="zh-CN" w:bidi="ar"/>
        </w:rPr>
        <w:t>五、总体评价结论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_Toc1201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69BFEB46">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_Toc22100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2"/>
          <w:sz w:val="32"/>
          <w:szCs w:val="32"/>
          <w:lang w:val="en-US" w:eastAsia="zh-CN" w:bidi="ar"/>
        </w:rPr>
        <w:t>（一）评价得分情况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_Toc22100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094179FE">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_Toc4358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eastAsia="zh-CN"/>
        </w:rPr>
        <w:t>（二）存在的问题及原因分析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_Toc4358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2FD7E1BF">
      <w:pPr>
        <w:pStyle w:val="10"/>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_Toc29587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0"/>
          <w:sz w:val="32"/>
          <w:szCs w:val="32"/>
          <w:lang w:eastAsia="zh-CN"/>
        </w:rPr>
        <w:t>六、措施建议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_Toc29587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237417AA">
      <w:pPr>
        <w:pStyle w:val="12"/>
        <w:tabs>
          <w:tab w:val="right" w:leader="dot" w:pos="8844"/>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_Toc28594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2"/>
          <w:sz w:val="32"/>
          <w:szCs w:val="32"/>
          <w:lang w:val="en-US" w:eastAsia="zh-CN" w:bidi="ar"/>
        </w:rPr>
        <w:t>（一）强化项目库管理及储备工作，进一步彰显部门整体成效</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_Toc28594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0B7AACBE">
      <w:pPr>
        <w:pStyle w:val="12"/>
        <w:tabs>
          <w:tab w:val="right" w:leader="dot" w:pos="8844"/>
        </w:tabs>
        <w:rPr>
          <w:rFonts w:ascii="仿宋_GB2312" w:hAnsi="黑体" w:eastAsia="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_Toc15600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2"/>
          <w:sz w:val="32"/>
          <w:szCs w:val="32"/>
          <w:lang w:val="en-US" w:eastAsia="zh-CN" w:bidi="ar"/>
        </w:rPr>
        <w:t>（二）加强绩效管理意识，及时总结反馈</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_Toc15600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23661F71">
      <w:pPr>
        <w:spacing w:line="360" w:lineRule="auto"/>
        <w:jc w:val="center"/>
        <w:rPr>
          <w:rFonts w:ascii="黑体" w:hAnsi="黑体" w:eastAsia="黑体"/>
          <w:sz w:val="32"/>
          <w:szCs w:val="32"/>
        </w:rPr>
        <w:sectPr>
          <w:footerReference r:id="rId5" w:type="default"/>
          <w:pgSz w:w="11906" w:h="16838"/>
          <w:pgMar w:top="1440" w:right="1474" w:bottom="1440" w:left="1588" w:header="851" w:footer="992" w:gutter="0"/>
          <w:pgNumType w:fmt="upperRoman" w:start="1"/>
          <w:cols w:space="425" w:num="1"/>
          <w:docGrid w:type="lines" w:linePitch="312" w:charSpace="0"/>
        </w:sectPr>
      </w:pPr>
    </w:p>
    <w:p w14:paraId="64C218A0">
      <w:pPr>
        <w:adjustRightInd w:val="0"/>
        <w:snapToGrid w:val="0"/>
        <w:spacing w:line="560" w:lineRule="exact"/>
        <w:ind w:firstLine="0" w:firstLineChars="0"/>
        <w:jc w:val="center"/>
        <w:rPr>
          <w:rFonts w:hint="eastAsia" w:ascii="方正小标宋简体" w:eastAsia="方正小标宋简体"/>
          <w:sz w:val="44"/>
          <w:szCs w:val="44"/>
        </w:rPr>
      </w:pPr>
      <w:r>
        <w:rPr>
          <w:rFonts w:hint="eastAsia" w:ascii="方正小标宋简体" w:eastAsia="方正小标宋简体"/>
          <w:sz w:val="44"/>
          <w:szCs w:val="44"/>
        </w:rPr>
        <w:t>北京市政务服务管理局</w:t>
      </w:r>
    </w:p>
    <w:p w14:paraId="1A914927">
      <w:pPr>
        <w:adjustRightInd w:val="0"/>
        <w:snapToGrid w:val="0"/>
        <w:spacing w:line="560" w:lineRule="exact"/>
        <w:ind w:firstLine="0" w:firstLineChars="0"/>
        <w:jc w:val="center"/>
        <w:rPr>
          <w:rFonts w:ascii="方正小标宋简体" w:eastAsia="方正小标宋简体"/>
          <w:sz w:val="44"/>
          <w:szCs w:val="44"/>
        </w:rPr>
      </w:pPr>
      <w:r>
        <w:rPr>
          <w:rFonts w:hint="eastAsia" w:ascii="方正小标宋简体" w:eastAsia="方正小标宋简体"/>
          <w:sz w:val="44"/>
          <w:szCs w:val="44"/>
        </w:rPr>
        <w:t>2</w:t>
      </w:r>
      <w:r>
        <w:rPr>
          <w:rFonts w:ascii="方正小标宋简体" w:eastAsia="方正小标宋简体"/>
          <w:sz w:val="44"/>
          <w:szCs w:val="44"/>
        </w:rPr>
        <w:t>02</w:t>
      </w:r>
      <w:r>
        <w:rPr>
          <w:rFonts w:hint="eastAsia" w:ascii="方正小标宋简体" w:eastAsia="方正小标宋简体"/>
          <w:sz w:val="44"/>
          <w:szCs w:val="44"/>
        </w:rPr>
        <w:t>3年度部门整体支出绩效评价报告</w:t>
      </w:r>
    </w:p>
    <w:p w14:paraId="0896C896">
      <w:pPr>
        <w:adjustRightInd w:val="0"/>
        <w:snapToGrid w:val="0"/>
        <w:spacing w:line="360" w:lineRule="auto"/>
        <w:ind w:firstLine="420" w:firstLineChars="200"/>
        <w:jc w:val="center"/>
        <w:rPr>
          <w:rFonts w:ascii="仿宋_GB2312"/>
          <w:szCs w:val="30"/>
        </w:rPr>
      </w:pPr>
    </w:p>
    <w:p w14:paraId="38FAC57A">
      <w:pPr>
        <w:adjustRightInd w:val="0"/>
        <w:snapToGrid w:val="0"/>
        <w:spacing w:line="560" w:lineRule="exact"/>
        <w:ind w:firstLine="640" w:firstLineChars="200"/>
        <w:outlineLvl w:val="0"/>
        <w:rPr>
          <w:rFonts w:ascii="黑体" w:hAnsi="黑体" w:eastAsia="黑体" w:cs="宋体"/>
          <w:color w:val="000000"/>
          <w:kern w:val="0"/>
          <w:sz w:val="32"/>
          <w:szCs w:val="32"/>
        </w:rPr>
      </w:pPr>
      <w:bookmarkStart w:id="1" w:name="_Toc30317"/>
      <w:bookmarkStart w:id="2" w:name="_Toc9168"/>
      <w:r>
        <w:rPr>
          <w:rFonts w:hint="eastAsia" w:ascii="黑体" w:hAnsi="黑体" w:eastAsia="黑体" w:cs="宋体"/>
          <w:color w:val="000000"/>
          <w:kern w:val="0"/>
          <w:sz w:val="32"/>
          <w:szCs w:val="32"/>
        </w:rPr>
        <w:t>一、部门概况</w:t>
      </w:r>
      <w:bookmarkEnd w:id="1"/>
      <w:bookmarkEnd w:id="2"/>
    </w:p>
    <w:p w14:paraId="40872EA5">
      <w:pPr>
        <w:adjustRightInd w:val="0"/>
        <w:snapToGrid w:val="0"/>
        <w:spacing w:line="560" w:lineRule="exact"/>
        <w:ind w:firstLine="640" w:firstLineChars="200"/>
        <w:outlineLvl w:val="1"/>
        <w:rPr>
          <w:rFonts w:ascii="楷体_GB2312" w:eastAsia="楷体_GB2312"/>
          <w:sz w:val="32"/>
          <w:szCs w:val="32"/>
        </w:rPr>
      </w:pPr>
      <w:bookmarkStart w:id="3" w:name="_Toc14586"/>
      <w:bookmarkStart w:id="4" w:name="_Toc26104"/>
      <w:r>
        <w:rPr>
          <w:rFonts w:hint="eastAsia" w:ascii="楷体_GB2312" w:eastAsia="楷体_GB2312"/>
          <w:sz w:val="32"/>
          <w:szCs w:val="32"/>
        </w:rPr>
        <w:t>（一）机构设置及职责工作任务情况</w:t>
      </w:r>
      <w:bookmarkEnd w:id="3"/>
      <w:bookmarkEnd w:id="4"/>
    </w:p>
    <w:p w14:paraId="06B221C2">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w:t>
      </w:r>
      <w:r>
        <w:rPr>
          <w:rFonts w:ascii="仿宋_GB2312" w:eastAsia="仿宋_GB2312"/>
          <w:bCs/>
          <w:sz w:val="32"/>
          <w:szCs w:val="32"/>
        </w:rPr>
        <w:t>.</w:t>
      </w:r>
      <w:r>
        <w:rPr>
          <w:rFonts w:hint="eastAsia" w:ascii="仿宋_GB2312" w:eastAsia="仿宋_GB2312"/>
          <w:bCs/>
          <w:sz w:val="32"/>
          <w:szCs w:val="32"/>
        </w:rPr>
        <w:t>部门组织架构与职能职责</w:t>
      </w:r>
    </w:p>
    <w:p w14:paraId="62D22E2C">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ascii="仿宋_GB2312" w:hAnsi="宋体" w:eastAsia="仿宋_GB2312"/>
          <w:sz w:val="32"/>
          <w:szCs w:val="28"/>
        </w:rPr>
      </w:pPr>
      <w:r>
        <w:rPr>
          <w:rFonts w:hint="eastAsia" w:ascii="仿宋_GB2312" w:eastAsia="仿宋_GB2312"/>
          <w:bCs/>
          <w:sz w:val="32"/>
          <w:szCs w:val="32"/>
        </w:rPr>
        <w:t>按照《中共北京市委 北京市人民政府关于印发</w:t>
      </w:r>
      <w:r>
        <w:rPr>
          <w:rFonts w:hint="eastAsia" w:ascii="仿宋_GB2312" w:eastAsia="仿宋_GB2312"/>
          <w:bCs/>
          <w:sz w:val="32"/>
          <w:szCs w:val="32"/>
          <w:lang w:eastAsia="zh-CN"/>
        </w:rPr>
        <w:t>〈</w:t>
      </w:r>
      <w:r>
        <w:rPr>
          <w:rFonts w:hint="eastAsia" w:ascii="仿宋_GB2312" w:eastAsia="仿宋_GB2312"/>
          <w:bCs/>
          <w:sz w:val="32"/>
          <w:szCs w:val="32"/>
        </w:rPr>
        <w:t>北京市机构改革实施方案</w:t>
      </w:r>
      <w:r>
        <w:rPr>
          <w:rFonts w:hint="eastAsia" w:ascii="仿宋_GB2312" w:eastAsia="仿宋_GB2312"/>
          <w:bCs/>
          <w:sz w:val="32"/>
          <w:szCs w:val="32"/>
          <w:lang w:eastAsia="zh-CN"/>
        </w:rPr>
        <w:t>〉</w:t>
      </w:r>
      <w:r>
        <w:rPr>
          <w:rFonts w:hint="eastAsia" w:ascii="仿宋_GB2312" w:eastAsia="仿宋_GB2312"/>
          <w:bCs/>
          <w:sz w:val="32"/>
          <w:szCs w:val="32"/>
        </w:rPr>
        <w:t>的通知》</w:t>
      </w:r>
      <w:r>
        <w:rPr>
          <w:rFonts w:hint="eastAsia" w:ascii="仿宋_GB2312" w:eastAsia="仿宋_GB2312"/>
          <w:bCs/>
          <w:sz w:val="32"/>
          <w:szCs w:val="32"/>
          <w:lang w:eastAsia="zh-CN"/>
        </w:rPr>
        <w:t>（</w:t>
      </w:r>
      <w:r>
        <w:rPr>
          <w:rFonts w:hint="eastAsia" w:ascii="仿宋_GB2312" w:eastAsia="仿宋_GB2312"/>
          <w:bCs/>
          <w:sz w:val="32"/>
          <w:szCs w:val="32"/>
        </w:rPr>
        <w:t>京发〔2018〕31号</w:t>
      </w:r>
      <w:r>
        <w:rPr>
          <w:rFonts w:hint="eastAsia" w:ascii="仿宋_GB2312" w:eastAsia="仿宋_GB2312"/>
          <w:bCs/>
          <w:sz w:val="32"/>
          <w:szCs w:val="32"/>
          <w:lang w:eastAsia="zh-CN"/>
        </w:rPr>
        <w:t>）</w:t>
      </w:r>
      <w:r>
        <w:rPr>
          <w:rFonts w:hint="eastAsia" w:ascii="仿宋_GB2312" w:eastAsia="仿宋_GB2312"/>
          <w:bCs/>
          <w:sz w:val="32"/>
          <w:szCs w:val="32"/>
        </w:rPr>
        <w:t>的规定，北京市政务服务管理局（以下简称“市政务服务局”）于2</w:t>
      </w:r>
      <w:r>
        <w:rPr>
          <w:rFonts w:ascii="仿宋_GB2312" w:eastAsia="仿宋_GB2312"/>
          <w:bCs/>
          <w:sz w:val="32"/>
          <w:szCs w:val="32"/>
        </w:rPr>
        <w:t>018</w:t>
      </w:r>
      <w:r>
        <w:rPr>
          <w:rFonts w:hint="eastAsia" w:ascii="仿宋_GB2312" w:eastAsia="仿宋_GB2312"/>
          <w:bCs/>
          <w:sz w:val="32"/>
          <w:szCs w:val="32"/>
        </w:rPr>
        <w:t>年1</w:t>
      </w:r>
      <w:r>
        <w:rPr>
          <w:rFonts w:ascii="仿宋_GB2312" w:eastAsia="仿宋_GB2312"/>
          <w:bCs/>
          <w:sz w:val="32"/>
          <w:szCs w:val="32"/>
        </w:rPr>
        <w:t>1</w:t>
      </w:r>
      <w:r>
        <w:rPr>
          <w:rFonts w:hint="eastAsia" w:ascii="仿宋_GB2312" w:eastAsia="仿宋_GB2312"/>
          <w:bCs/>
          <w:sz w:val="32"/>
          <w:szCs w:val="32"/>
        </w:rPr>
        <w:t>月1</w:t>
      </w:r>
      <w:r>
        <w:rPr>
          <w:rFonts w:ascii="仿宋_GB2312" w:eastAsia="仿宋_GB2312"/>
          <w:bCs/>
          <w:sz w:val="32"/>
          <w:szCs w:val="32"/>
        </w:rPr>
        <w:t>6</w:t>
      </w:r>
      <w:r>
        <w:rPr>
          <w:rFonts w:hint="eastAsia" w:ascii="仿宋_GB2312" w:eastAsia="仿宋_GB2312"/>
          <w:bCs/>
          <w:sz w:val="32"/>
          <w:szCs w:val="32"/>
        </w:rPr>
        <w:t>日正式成立，明确部门职责为贯彻落实党中央关于政务服务工作的方针政策、决策部署和市委有关工作要求</w:t>
      </w:r>
      <w:r>
        <w:rPr>
          <w:rFonts w:hint="eastAsia" w:ascii="仿宋_GB2312" w:eastAsia="仿宋_GB2312"/>
          <w:bCs/>
          <w:sz w:val="32"/>
          <w:szCs w:val="32"/>
          <w:lang w:eastAsia="zh-CN"/>
        </w:rPr>
        <w:t>，</w:t>
      </w:r>
      <w:r>
        <w:rPr>
          <w:rFonts w:hint="eastAsia" w:ascii="仿宋_GB2312" w:eastAsia="仿宋_GB2312"/>
          <w:bCs/>
          <w:sz w:val="32"/>
          <w:szCs w:val="32"/>
        </w:rPr>
        <w:t>在履行职责过程中坚持和加强党对政务服务工作的集中统一领导</w:t>
      </w:r>
      <w:r>
        <w:rPr>
          <w:rFonts w:hint="eastAsia" w:ascii="仿宋_GB2312" w:hAnsi="宋体" w:eastAsia="仿宋_GB2312" w:cs="宋体"/>
          <w:kern w:val="0"/>
          <w:sz w:val="32"/>
          <w:szCs w:val="32"/>
        </w:rPr>
        <w:t>。2</w:t>
      </w:r>
      <w:r>
        <w:rPr>
          <w:rFonts w:ascii="仿宋_GB2312" w:hAnsi="宋体" w:eastAsia="仿宋_GB2312" w:cs="宋体"/>
          <w:kern w:val="0"/>
          <w:sz w:val="32"/>
          <w:szCs w:val="32"/>
        </w:rPr>
        <w:t>019</w:t>
      </w:r>
      <w:r>
        <w:rPr>
          <w:rFonts w:hint="eastAsia" w:ascii="仿宋_GB2312" w:hAnsi="宋体" w:eastAsia="仿宋_GB2312" w:cs="宋体"/>
          <w:kern w:val="0"/>
          <w:sz w:val="32"/>
          <w:szCs w:val="32"/>
        </w:rPr>
        <w:t>年3月中共北京市委办公厅 北京市人民政府办公厅印发了</w:t>
      </w:r>
      <w:r>
        <w:rPr>
          <w:rFonts w:hint="eastAsia" w:ascii="仿宋_GB2312" w:eastAsia="仿宋_GB2312"/>
          <w:bCs/>
          <w:sz w:val="32"/>
          <w:szCs w:val="32"/>
        </w:rPr>
        <w:t>《北京市政务服务管理局职能配置、内设机构和人员编制的规定》的通知</w:t>
      </w:r>
      <w:r>
        <w:rPr>
          <w:rFonts w:hint="eastAsia" w:ascii="仿宋_GB2312" w:eastAsia="仿宋_GB2312"/>
          <w:bCs/>
          <w:sz w:val="32"/>
          <w:szCs w:val="32"/>
          <w:lang w:eastAsia="zh-CN"/>
        </w:rPr>
        <w:t>（</w:t>
      </w:r>
      <w:r>
        <w:rPr>
          <w:rFonts w:hint="eastAsia" w:ascii="仿宋_GB2312" w:eastAsia="仿宋_GB2312"/>
          <w:bCs/>
          <w:sz w:val="32"/>
          <w:szCs w:val="32"/>
        </w:rPr>
        <w:t>京办字〔2019〕70号</w:t>
      </w:r>
      <w:r>
        <w:rPr>
          <w:rFonts w:hint="eastAsia" w:ascii="仿宋_GB2312" w:eastAsia="仿宋_GB2312"/>
          <w:bCs/>
          <w:sz w:val="32"/>
          <w:szCs w:val="32"/>
          <w:lang w:eastAsia="zh-CN"/>
        </w:rPr>
        <w:t>）</w:t>
      </w:r>
      <w:r>
        <w:rPr>
          <w:rFonts w:hint="eastAsia" w:ascii="仿宋_GB2312" w:hAnsi="宋体" w:eastAsia="仿宋_GB2312"/>
          <w:sz w:val="32"/>
          <w:szCs w:val="28"/>
        </w:rPr>
        <w:t>，明确了市政务服务局</w:t>
      </w:r>
      <w:r>
        <w:rPr>
          <w:rFonts w:hint="eastAsia" w:ascii="仿宋_GB2312" w:hAnsi="宋体" w:eastAsia="仿宋_GB2312" w:cs="宋体"/>
          <w:kern w:val="0"/>
          <w:sz w:val="32"/>
          <w:szCs w:val="32"/>
        </w:rPr>
        <w:t>内设</w:t>
      </w:r>
      <w:r>
        <w:rPr>
          <w:rFonts w:ascii="仿宋_GB2312" w:hAnsi="宋体" w:eastAsia="仿宋_GB2312" w:cs="宋体"/>
          <w:kern w:val="0"/>
          <w:sz w:val="32"/>
          <w:szCs w:val="32"/>
        </w:rPr>
        <w:t>16</w:t>
      </w:r>
      <w:r>
        <w:rPr>
          <w:rFonts w:hint="eastAsia" w:ascii="仿宋_GB2312" w:hAnsi="宋体" w:eastAsia="仿宋_GB2312" w:cs="宋体"/>
          <w:kern w:val="0"/>
          <w:sz w:val="32"/>
          <w:szCs w:val="32"/>
        </w:rPr>
        <w:t>个职能处室及</w:t>
      </w:r>
      <w:r>
        <w:rPr>
          <w:rFonts w:hint="eastAsia" w:ascii="仿宋_GB2312" w:hAnsi="宋体" w:eastAsia="仿宋_GB2312"/>
          <w:sz w:val="32"/>
          <w:szCs w:val="28"/>
        </w:rPr>
        <w:t>机关党委（人事处）、工会</w:t>
      </w:r>
      <w:r>
        <w:rPr>
          <w:rFonts w:ascii="仿宋_GB2312" w:hAnsi="宋体" w:eastAsia="仿宋_GB2312"/>
          <w:sz w:val="32"/>
          <w:szCs w:val="28"/>
        </w:rPr>
        <w:t>，</w:t>
      </w:r>
      <w:r>
        <w:rPr>
          <w:rFonts w:hint="eastAsia" w:ascii="仿宋_GB2312" w:hAnsi="宋体" w:eastAsia="仿宋_GB2312"/>
          <w:sz w:val="32"/>
          <w:szCs w:val="28"/>
        </w:rPr>
        <w:t>以及北京市市民热线服务中心（以下简称“热线中心”）</w:t>
      </w:r>
      <w:r>
        <w:rPr>
          <w:rFonts w:ascii="仿宋_GB2312" w:hAnsi="宋体" w:eastAsia="仿宋_GB2312"/>
          <w:sz w:val="32"/>
          <w:szCs w:val="28"/>
        </w:rPr>
        <w:t>1</w:t>
      </w:r>
      <w:r>
        <w:rPr>
          <w:rFonts w:hint="eastAsia" w:ascii="仿宋_GB2312" w:hAnsi="宋体" w:eastAsia="仿宋_GB2312"/>
          <w:sz w:val="32"/>
          <w:szCs w:val="28"/>
        </w:rPr>
        <w:t>个所属事业单位</w:t>
      </w:r>
      <w:r>
        <w:rPr>
          <w:rFonts w:ascii="仿宋_GB2312" w:hAnsi="宋体" w:eastAsia="仿宋_GB2312"/>
          <w:sz w:val="32"/>
          <w:szCs w:val="28"/>
        </w:rPr>
        <w:t>，</w:t>
      </w:r>
      <w:r>
        <w:rPr>
          <w:rFonts w:hint="eastAsia" w:ascii="仿宋_GB2312" w:hAnsi="宋体" w:eastAsia="仿宋_GB2312"/>
          <w:sz w:val="32"/>
          <w:szCs w:val="28"/>
        </w:rPr>
        <w:t>部门职责</w:t>
      </w:r>
      <w:r>
        <w:rPr>
          <w:rFonts w:ascii="仿宋_GB2312" w:hAnsi="宋体" w:eastAsia="仿宋_GB2312" w:cs="宋体"/>
          <w:kern w:val="0"/>
          <w:sz w:val="32"/>
          <w:szCs w:val="32"/>
        </w:rPr>
        <w:t>8</w:t>
      </w:r>
      <w:r>
        <w:rPr>
          <w:rFonts w:hint="eastAsia" w:ascii="仿宋_GB2312" w:hAnsi="宋体" w:eastAsia="仿宋_GB2312" w:cs="宋体"/>
          <w:kern w:val="0"/>
          <w:sz w:val="32"/>
          <w:szCs w:val="32"/>
        </w:rPr>
        <w:t>项</w:t>
      </w:r>
      <w:r>
        <w:rPr>
          <w:rFonts w:hint="eastAsia" w:ascii="仿宋_GB2312" w:hAnsi="宋体" w:eastAsia="仿宋_GB2312"/>
          <w:sz w:val="32"/>
          <w:szCs w:val="28"/>
        </w:rPr>
        <w:t>。2</w:t>
      </w:r>
      <w:r>
        <w:rPr>
          <w:rFonts w:ascii="仿宋_GB2312" w:hAnsi="宋体" w:eastAsia="仿宋_GB2312"/>
          <w:sz w:val="32"/>
          <w:szCs w:val="28"/>
        </w:rPr>
        <w:t>019</w:t>
      </w:r>
      <w:r>
        <w:rPr>
          <w:rFonts w:hint="eastAsia" w:ascii="仿宋_GB2312" w:hAnsi="宋体" w:eastAsia="仿宋_GB2312"/>
          <w:sz w:val="32"/>
          <w:szCs w:val="28"/>
        </w:rPr>
        <w:t>年1</w:t>
      </w:r>
      <w:r>
        <w:rPr>
          <w:rFonts w:ascii="仿宋_GB2312" w:hAnsi="宋体" w:eastAsia="仿宋_GB2312"/>
          <w:sz w:val="32"/>
          <w:szCs w:val="28"/>
        </w:rPr>
        <w:t>2</w:t>
      </w:r>
      <w:r>
        <w:rPr>
          <w:rFonts w:hint="eastAsia" w:ascii="仿宋_GB2312" w:hAnsi="宋体" w:eastAsia="仿宋_GB2312"/>
          <w:sz w:val="32"/>
          <w:szCs w:val="28"/>
        </w:rPr>
        <w:t>月1</w:t>
      </w:r>
      <w:r>
        <w:rPr>
          <w:rFonts w:ascii="仿宋_GB2312" w:hAnsi="宋体" w:eastAsia="仿宋_GB2312"/>
          <w:sz w:val="32"/>
          <w:szCs w:val="28"/>
        </w:rPr>
        <w:t>0</w:t>
      </w:r>
      <w:r>
        <w:rPr>
          <w:rFonts w:hint="eastAsia" w:ascii="仿宋_GB2312" w:hAnsi="宋体" w:eastAsia="仿宋_GB2312"/>
          <w:sz w:val="32"/>
          <w:szCs w:val="28"/>
        </w:rPr>
        <w:t>日，新设立北京市网上政务服务大厅运行中心（以下简称“网厅中心”），为市政务服务局所属事业单位，承担本市网上政务大厅相关应用系统的组织开发、运行维护、安全保障以及市政务服务中心信息化设备的运行维护等工作。2020年2月24日，北京市机构编制委员会办公室批准市政务服务局研究室更名为政策法规处，履行原有职责。2</w:t>
      </w:r>
      <w:r>
        <w:rPr>
          <w:rFonts w:ascii="仿宋_GB2312" w:hAnsi="宋体" w:eastAsia="仿宋_GB2312"/>
          <w:sz w:val="32"/>
          <w:szCs w:val="28"/>
        </w:rPr>
        <w:t>021</w:t>
      </w:r>
      <w:r>
        <w:rPr>
          <w:rFonts w:hint="eastAsia" w:ascii="仿宋_GB2312" w:hAnsi="宋体" w:eastAsia="仿宋_GB2312"/>
          <w:sz w:val="32"/>
          <w:szCs w:val="28"/>
        </w:rPr>
        <w:t>年</w:t>
      </w:r>
      <w:r>
        <w:rPr>
          <w:rFonts w:ascii="仿宋_GB2312" w:hAnsi="宋体" w:eastAsia="仿宋_GB2312"/>
          <w:sz w:val="32"/>
          <w:szCs w:val="28"/>
        </w:rPr>
        <w:t>3</w:t>
      </w:r>
      <w:r>
        <w:rPr>
          <w:rFonts w:hint="eastAsia" w:ascii="仿宋_GB2312" w:hAnsi="宋体" w:eastAsia="仿宋_GB2312"/>
          <w:sz w:val="32"/>
          <w:szCs w:val="28"/>
        </w:rPr>
        <w:t>月</w:t>
      </w:r>
      <w:r>
        <w:rPr>
          <w:rFonts w:ascii="仿宋_GB2312" w:hAnsi="宋体" w:eastAsia="仿宋_GB2312"/>
          <w:sz w:val="32"/>
          <w:szCs w:val="28"/>
        </w:rPr>
        <w:t>5</w:t>
      </w:r>
      <w:r>
        <w:rPr>
          <w:rFonts w:hint="eastAsia" w:ascii="仿宋_GB2312" w:hAnsi="宋体" w:eastAsia="仿宋_GB2312"/>
          <w:sz w:val="32"/>
          <w:szCs w:val="28"/>
        </w:rPr>
        <w:t>日，新增设接诉即办改革处1个内设处室，负责接诉即办改革的具体工作。基于2023年度决算分析口径，市政务服务局共有</w:t>
      </w:r>
      <w:r>
        <w:rPr>
          <w:rFonts w:ascii="仿宋_GB2312" w:hAnsi="宋体" w:eastAsia="仿宋_GB2312"/>
          <w:sz w:val="32"/>
          <w:szCs w:val="28"/>
        </w:rPr>
        <w:t>17</w:t>
      </w:r>
      <w:r>
        <w:rPr>
          <w:rFonts w:hint="eastAsia" w:ascii="仿宋_GB2312" w:hAnsi="宋体" w:eastAsia="仿宋_GB2312"/>
          <w:sz w:val="32"/>
          <w:szCs w:val="28"/>
        </w:rPr>
        <w:t>个内设处室、机关党委（人事处）、工会及2个所属事业单位，部门职责共计8项。具体组织机构及职能职责情况分别见下图1、表1。</w:t>
      </w:r>
    </w:p>
    <w:p w14:paraId="1E8F7D97">
      <w:pPr>
        <w:adjustRightInd w:val="0"/>
        <w:snapToGrid w:val="0"/>
        <w:spacing w:line="360" w:lineRule="auto"/>
        <w:ind w:left="-141" w:leftChars="-67" w:firstLine="640" w:firstLineChars="200"/>
        <w:jc w:val="center"/>
        <w:rPr>
          <w:rFonts w:hint="eastAsia" w:ascii="黑体" w:hAnsi="黑体" w:eastAsia="黑体" w:cs="黑体"/>
          <w:sz w:val="28"/>
          <w:szCs w:val="28"/>
        </w:rPr>
      </w:pPr>
      <w:r>
        <w:rPr>
          <w:rFonts w:ascii="仿宋_GB2312" w:hAnsi="宋体" w:eastAsia="仿宋_GB2312"/>
          <w:sz w:val="32"/>
          <w:szCs w:val="28"/>
        </w:rPr>
        <w:pict>
          <v:shape id="_x0000_s2055" o:spid="_x0000_s2055" o:spt="75" type="#_x0000_t75" style="position:absolute;left:0pt;margin-left:-45.65pt;margin-top:16.2pt;height:309.85pt;width:537.65pt;mso-wrap-distance-bottom:0pt;mso-wrap-distance-left:9pt;mso-wrap-distance-right:9pt;mso-wrap-distance-top:0pt;z-index:251659264;mso-width-relative:page;mso-height-relative:page;" o:ole="t" filled="f" o:preferrelative="t" stroked="f" coordsize="21600,21600">
            <v:path/>
            <v:fill on="f" focussize="0,0"/>
            <v:stroke on="f" joinstyle="miter"/>
            <v:imagedata r:id="rId8" o:title=""/>
            <o:lock v:ext="edit" aspectratio="t"/>
            <w10:wrap type="square"/>
          </v:shape>
          <o:OLEObject Type="Embed" ProgID="Visio.Drawing.15" ShapeID="_x0000_s2055" DrawAspect="Content" ObjectID="_1468075725" r:id="rId7">
            <o:LockedField>false</o:LockedField>
          </o:OLEObject>
        </w:pict>
      </w:r>
      <w:r>
        <w:rPr>
          <w:rFonts w:hint="eastAsia" w:ascii="黑体" w:hAnsi="黑体" w:eastAsia="黑体" w:cs="黑体"/>
          <w:sz w:val="28"/>
          <w:szCs w:val="28"/>
        </w:rPr>
        <w:t>图</w:t>
      </w:r>
      <w:r>
        <w:rPr>
          <w:rFonts w:ascii="黑体" w:hAnsi="黑体" w:eastAsia="黑体" w:cs="黑体"/>
          <w:sz w:val="28"/>
          <w:szCs w:val="28"/>
        </w:rPr>
        <w:t>1</w:t>
      </w:r>
      <w:r>
        <w:rPr>
          <w:rFonts w:hint="eastAsia" w:ascii="黑体" w:hAnsi="黑体" w:eastAsia="黑体" w:cs="黑体"/>
          <w:sz w:val="28"/>
          <w:szCs w:val="28"/>
        </w:rPr>
        <w:t>：市政务服务局组织机构图</w:t>
      </w:r>
      <w:r>
        <w:rPr>
          <w:rFonts w:ascii="仿宋_GB2312" w:hAnsi="宋体" w:eastAsia="仿宋_GB2312"/>
          <w:b/>
          <w:sz w:val="32"/>
          <w:szCs w:val="28"/>
          <w:vertAlign w:val="superscript"/>
        </w:rPr>
        <w:footnoteReference w:id="0"/>
      </w:r>
    </w:p>
    <w:p w14:paraId="727DD609">
      <w:pPr>
        <w:ind w:firstLine="560"/>
        <w:jc w:val="left"/>
        <w:rPr>
          <w:rFonts w:ascii="黑体" w:hAnsi="黑体" w:eastAsia="黑体"/>
          <w:sz w:val="28"/>
          <w:szCs w:val="28"/>
        </w:rPr>
      </w:pPr>
    </w:p>
    <w:p w14:paraId="43A3F25A">
      <w:pPr>
        <w:adjustRightInd w:val="0"/>
        <w:snapToGrid w:val="0"/>
        <w:ind w:firstLine="560"/>
        <w:jc w:val="center"/>
        <w:rPr>
          <w:rFonts w:ascii="黑体" w:hAnsi="黑体" w:eastAsia="黑体"/>
          <w:sz w:val="28"/>
          <w:szCs w:val="28"/>
        </w:rPr>
      </w:pPr>
      <w:r>
        <w:rPr>
          <w:rFonts w:hint="eastAsia" w:ascii="黑体" w:hAnsi="黑体" w:eastAsia="黑体"/>
          <w:sz w:val="28"/>
          <w:szCs w:val="28"/>
        </w:rPr>
        <w:t>表</w:t>
      </w:r>
      <w:r>
        <w:rPr>
          <w:rFonts w:ascii="黑体" w:hAnsi="黑体" w:eastAsia="黑体"/>
          <w:sz w:val="28"/>
          <w:szCs w:val="28"/>
        </w:rPr>
        <w:t>1</w:t>
      </w:r>
      <w:r>
        <w:rPr>
          <w:rFonts w:hint="eastAsia" w:ascii="黑体" w:hAnsi="黑体" w:eastAsia="黑体"/>
          <w:sz w:val="28"/>
          <w:szCs w:val="28"/>
        </w:rPr>
        <w:t>：市政务服务局部门职能职责</w:t>
      </w:r>
      <w:r>
        <w:rPr>
          <w:rFonts w:ascii="黑体" w:hAnsi="黑体" w:eastAsia="黑体"/>
          <w:sz w:val="28"/>
          <w:szCs w:val="28"/>
        </w:rPr>
        <w:t>一览表</w:t>
      </w:r>
    </w:p>
    <w:tbl>
      <w:tblPr>
        <w:tblStyle w:val="16"/>
        <w:tblW w:w="5639" w:type="pct"/>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9407"/>
      </w:tblGrid>
      <w:tr w14:paraId="7A6B6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blHeader/>
        </w:trPr>
        <w:tc>
          <w:tcPr>
            <w:tcW w:w="397" w:type="pct"/>
            <w:vAlign w:val="center"/>
          </w:tcPr>
          <w:p w14:paraId="5A1C787F">
            <w:pPr>
              <w:keepNext w:val="0"/>
              <w:keepLines w:val="0"/>
              <w:suppressLineNumbers w:val="0"/>
              <w:adjustRightInd w:val="0"/>
              <w:snapToGrid w:val="0"/>
              <w:spacing w:before="0" w:beforeAutospacing="0" w:after="0" w:afterAutospacing="0"/>
              <w:ind w:left="0" w:right="0"/>
              <w:rPr>
                <w:rFonts w:cs="仿宋" w:asciiTheme="minorEastAsia" w:hAnsiTheme="minorEastAsia" w:eastAsiaTheme="minorEastAsia"/>
                <w:b/>
                <w:sz w:val="20"/>
                <w:szCs w:val="20"/>
              </w:rPr>
            </w:pPr>
            <w:r>
              <w:rPr>
                <w:rFonts w:hint="eastAsia" w:cs="仿宋" w:asciiTheme="minorEastAsia" w:hAnsiTheme="minorEastAsia" w:eastAsiaTheme="minorEastAsia"/>
                <w:b/>
                <w:sz w:val="20"/>
                <w:szCs w:val="20"/>
              </w:rPr>
              <w:t>序号</w:t>
            </w:r>
          </w:p>
        </w:tc>
        <w:tc>
          <w:tcPr>
            <w:tcW w:w="4603" w:type="pct"/>
            <w:vAlign w:val="center"/>
          </w:tcPr>
          <w:p w14:paraId="212C031D">
            <w:pPr>
              <w:keepNext w:val="0"/>
              <w:keepLines w:val="0"/>
              <w:suppressLineNumbers w:val="0"/>
              <w:adjustRightInd w:val="0"/>
              <w:snapToGrid w:val="0"/>
              <w:spacing w:before="0" w:beforeAutospacing="0" w:after="0" w:afterAutospacing="0"/>
              <w:ind w:left="0" w:right="0" w:firstLine="402"/>
              <w:jc w:val="center"/>
              <w:rPr>
                <w:rFonts w:cs="仿宋" w:asciiTheme="minorEastAsia" w:hAnsiTheme="minorEastAsia" w:eastAsiaTheme="minorEastAsia"/>
                <w:b/>
                <w:sz w:val="20"/>
                <w:szCs w:val="20"/>
              </w:rPr>
            </w:pPr>
            <w:r>
              <w:rPr>
                <w:rFonts w:hint="eastAsia" w:cs="仿宋" w:asciiTheme="minorEastAsia" w:hAnsiTheme="minorEastAsia" w:eastAsiaTheme="minorEastAsia"/>
                <w:b/>
                <w:sz w:val="20"/>
                <w:szCs w:val="20"/>
              </w:rPr>
              <w:t>部门职责</w:t>
            </w:r>
          </w:p>
        </w:tc>
      </w:tr>
      <w:tr w14:paraId="3AED2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397" w:type="pct"/>
            <w:vAlign w:val="center"/>
          </w:tcPr>
          <w:p w14:paraId="771A6A5B">
            <w:pPr>
              <w:keepNext w:val="0"/>
              <w:keepLines w:val="0"/>
              <w:suppressLineNumbers w:val="0"/>
              <w:adjustRightInd w:val="0"/>
              <w:snapToGrid w:val="0"/>
              <w:spacing w:before="0" w:beforeAutospacing="0" w:after="0" w:afterAutospacing="0"/>
              <w:ind w:left="0" w:right="0"/>
              <w:jc w:val="center"/>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1</w:t>
            </w:r>
          </w:p>
        </w:tc>
        <w:tc>
          <w:tcPr>
            <w:tcW w:w="4603" w:type="pct"/>
            <w:vAlign w:val="center"/>
          </w:tcPr>
          <w:p w14:paraId="0CBDB15B">
            <w:pPr>
              <w:keepNext w:val="0"/>
              <w:keepLines w:val="0"/>
              <w:suppressLineNumbers w:val="0"/>
              <w:adjustRightInd w:val="0"/>
              <w:snapToGrid w:val="0"/>
              <w:spacing w:before="0" w:beforeAutospacing="0" w:after="0" w:afterAutospacing="0"/>
              <w:ind w:left="0" w:right="0" w:firstLine="400"/>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负责统筹推进本市简政放权、放管结合、优化服务改革和行政审批制度改革工作。组织开展重大问题调查研究。研究拟订改革规划、计划和相关政策措施并组织实施。协调解决改革中遇到的重点难点问题。协调、</w:t>
            </w:r>
            <w:r>
              <w:rPr>
                <w:rFonts w:hint="eastAsia" w:cs="仿宋" w:asciiTheme="minorEastAsia" w:hAnsiTheme="minorEastAsia" w:eastAsiaTheme="minorEastAsia"/>
                <w:bCs/>
                <w:sz w:val="20"/>
                <w:szCs w:val="20"/>
                <w:lang w:eastAsia="zh-CN"/>
              </w:rPr>
              <w:t>指导</w:t>
            </w:r>
            <w:r>
              <w:rPr>
                <w:rFonts w:hint="eastAsia" w:cs="仿宋" w:asciiTheme="minorEastAsia" w:hAnsiTheme="minorEastAsia" w:eastAsiaTheme="minorEastAsia"/>
                <w:bCs/>
                <w:sz w:val="20"/>
                <w:szCs w:val="20"/>
              </w:rPr>
              <w:t>、督促各区、各部门落实改革重大任务。</w:t>
            </w:r>
          </w:p>
        </w:tc>
      </w:tr>
      <w:tr w14:paraId="673D5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397" w:type="pct"/>
            <w:vAlign w:val="center"/>
          </w:tcPr>
          <w:p w14:paraId="5C4A08AA">
            <w:pPr>
              <w:keepNext w:val="0"/>
              <w:keepLines w:val="0"/>
              <w:suppressLineNumbers w:val="0"/>
              <w:adjustRightInd w:val="0"/>
              <w:snapToGrid w:val="0"/>
              <w:spacing w:before="0" w:beforeAutospacing="0" w:after="0" w:afterAutospacing="0"/>
              <w:ind w:left="0" w:right="0"/>
              <w:jc w:val="center"/>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2</w:t>
            </w:r>
          </w:p>
        </w:tc>
        <w:tc>
          <w:tcPr>
            <w:tcW w:w="4603" w:type="pct"/>
            <w:vAlign w:val="center"/>
          </w:tcPr>
          <w:p w14:paraId="4B2B169E">
            <w:pPr>
              <w:keepNext w:val="0"/>
              <w:keepLines w:val="0"/>
              <w:suppressLineNumbers w:val="0"/>
              <w:adjustRightInd w:val="0"/>
              <w:snapToGrid w:val="0"/>
              <w:spacing w:before="0" w:beforeAutospacing="0" w:after="0" w:afterAutospacing="0"/>
              <w:ind w:left="0" w:right="0" w:firstLine="400"/>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负责协调推进本市政务服务体系建设。指导、协调、监督各级各类政务服务平台的建设、管理工作。负责北京市政务服务中心的建设、运行和管理。负责组织推动政务服务方式创新。负责政务服务事项规范管理，推进政务服务标准化、集成化。</w:t>
            </w:r>
          </w:p>
        </w:tc>
      </w:tr>
      <w:tr w14:paraId="35B94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397" w:type="pct"/>
            <w:vAlign w:val="center"/>
          </w:tcPr>
          <w:p w14:paraId="2AD90B6C">
            <w:pPr>
              <w:keepNext w:val="0"/>
              <w:keepLines w:val="0"/>
              <w:suppressLineNumbers w:val="0"/>
              <w:adjustRightInd w:val="0"/>
              <w:snapToGrid w:val="0"/>
              <w:spacing w:before="0" w:beforeAutospacing="0" w:after="0" w:afterAutospacing="0"/>
              <w:ind w:left="0" w:right="0"/>
              <w:jc w:val="center"/>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3</w:t>
            </w:r>
          </w:p>
        </w:tc>
        <w:tc>
          <w:tcPr>
            <w:tcW w:w="4603" w:type="pct"/>
            <w:vAlign w:val="center"/>
          </w:tcPr>
          <w:p w14:paraId="4443FF86">
            <w:pPr>
              <w:keepNext w:val="0"/>
              <w:keepLines w:val="0"/>
              <w:suppressLineNumbers w:val="0"/>
              <w:adjustRightInd w:val="0"/>
              <w:snapToGrid w:val="0"/>
              <w:spacing w:before="0" w:beforeAutospacing="0" w:after="0" w:afterAutospacing="0"/>
              <w:ind w:left="0" w:right="0" w:firstLine="400"/>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负责本市“互联网+政务服务”工作，统筹规划政务服务“一张网”建设。协调推进本市与国家政务服务平台之间的信息共享与业务协同。负责一体化在线政务服务平台的建设、管理工作。负责推进、</w:t>
            </w:r>
            <w:r>
              <w:rPr>
                <w:rFonts w:hint="eastAsia" w:cs="仿宋" w:asciiTheme="minorEastAsia" w:hAnsiTheme="minorEastAsia" w:eastAsiaTheme="minorEastAsia"/>
                <w:bCs/>
                <w:sz w:val="20"/>
                <w:szCs w:val="20"/>
                <w:lang w:eastAsia="zh-CN"/>
              </w:rPr>
              <w:t>指导</w:t>
            </w:r>
            <w:r>
              <w:rPr>
                <w:rFonts w:hint="eastAsia" w:cs="仿宋" w:asciiTheme="minorEastAsia" w:hAnsiTheme="minorEastAsia" w:eastAsiaTheme="minorEastAsia"/>
                <w:bCs/>
                <w:sz w:val="20"/>
                <w:szCs w:val="20"/>
              </w:rPr>
              <w:t>、监督本市政府网站建设、发展及市政府门户网站的管理工作。</w:t>
            </w:r>
          </w:p>
        </w:tc>
      </w:tr>
      <w:tr w14:paraId="261C5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397" w:type="pct"/>
            <w:vAlign w:val="center"/>
          </w:tcPr>
          <w:p w14:paraId="4D47F909">
            <w:pPr>
              <w:keepNext w:val="0"/>
              <w:keepLines w:val="0"/>
              <w:suppressLineNumbers w:val="0"/>
              <w:adjustRightInd w:val="0"/>
              <w:snapToGrid w:val="0"/>
              <w:spacing w:before="0" w:beforeAutospacing="0" w:after="0" w:afterAutospacing="0"/>
              <w:ind w:left="0" w:right="0"/>
              <w:jc w:val="center"/>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4</w:t>
            </w:r>
          </w:p>
        </w:tc>
        <w:tc>
          <w:tcPr>
            <w:tcW w:w="4603" w:type="pct"/>
            <w:vAlign w:val="center"/>
          </w:tcPr>
          <w:p w14:paraId="4A51D6EE">
            <w:pPr>
              <w:keepNext w:val="0"/>
              <w:keepLines w:val="0"/>
              <w:suppressLineNumbers w:val="0"/>
              <w:adjustRightInd w:val="0"/>
              <w:snapToGrid w:val="0"/>
              <w:spacing w:before="0" w:beforeAutospacing="0" w:after="0" w:afterAutospacing="0"/>
              <w:ind w:left="0" w:right="0" w:firstLine="400"/>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负责本市市民服务热线工作体系的规划、建设及市民服务热线管理工作。推进本市政府服务热线综合性服务平台建设，实现“一号通行”、综合调度，建立完善群众诉求快速响应、解决和反馈机制。负责本市政府服务热线数据信息采集和社情民意综合分析工作。</w:t>
            </w:r>
          </w:p>
        </w:tc>
      </w:tr>
      <w:tr w14:paraId="0AD42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 w:type="pct"/>
            <w:vAlign w:val="center"/>
          </w:tcPr>
          <w:p w14:paraId="6176190B">
            <w:pPr>
              <w:keepNext w:val="0"/>
              <w:keepLines w:val="0"/>
              <w:suppressLineNumbers w:val="0"/>
              <w:adjustRightInd w:val="0"/>
              <w:snapToGrid w:val="0"/>
              <w:spacing w:before="0" w:beforeAutospacing="0" w:after="0" w:afterAutospacing="0"/>
              <w:ind w:left="0" w:right="0"/>
              <w:jc w:val="center"/>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5</w:t>
            </w:r>
          </w:p>
        </w:tc>
        <w:tc>
          <w:tcPr>
            <w:tcW w:w="4603" w:type="pct"/>
            <w:vAlign w:val="center"/>
          </w:tcPr>
          <w:p w14:paraId="12EE3715">
            <w:pPr>
              <w:keepNext w:val="0"/>
              <w:keepLines w:val="0"/>
              <w:suppressLineNumbers w:val="0"/>
              <w:adjustRightInd w:val="0"/>
              <w:snapToGrid w:val="0"/>
              <w:spacing w:before="0" w:beforeAutospacing="0" w:after="0" w:afterAutospacing="0"/>
              <w:ind w:left="0" w:right="0" w:firstLine="400"/>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负责推进、指导、协调、监督本市政府信息公开和政务公开工作。依法协调受理公民、法人或其他组织获取市政府信息的申请。组织推进政务公开制度化、信息化、标准化建设。统筹协调本市政府系统政务公开渠道建设工作。</w:t>
            </w:r>
          </w:p>
        </w:tc>
      </w:tr>
      <w:tr w14:paraId="012C3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397" w:type="pct"/>
            <w:vAlign w:val="center"/>
          </w:tcPr>
          <w:p w14:paraId="198BC2D6">
            <w:pPr>
              <w:keepNext w:val="0"/>
              <w:keepLines w:val="0"/>
              <w:suppressLineNumbers w:val="0"/>
              <w:adjustRightInd w:val="0"/>
              <w:snapToGrid w:val="0"/>
              <w:spacing w:before="0" w:beforeAutospacing="0" w:after="0" w:afterAutospacing="0"/>
              <w:ind w:left="0" w:right="0"/>
              <w:jc w:val="center"/>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6</w:t>
            </w:r>
          </w:p>
        </w:tc>
        <w:tc>
          <w:tcPr>
            <w:tcW w:w="4603" w:type="pct"/>
            <w:vAlign w:val="center"/>
          </w:tcPr>
          <w:p w14:paraId="4AE7000A">
            <w:pPr>
              <w:keepNext w:val="0"/>
              <w:keepLines w:val="0"/>
              <w:suppressLineNumbers w:val="0"/>
              <w:adjustRightInd w:val="0"/>
              <w:snapToGrid w:val="0"/>
              <w:spacing w:before="0" w:beforeAutospacing="0" w:after="0" w:afterAutospacing="0"/>
              <w:ind w:left="0" w:right="0" w:firstLine="400"/>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负责本市中介服务网上交易平台和公共资源交易综合分平台场所的服务管理工作。研究制定本市公共资源交易场所服务管理标准、细则。负责中介服务网上交易平台和公共资源交易综合分平台场所的建设、运行和服务管理工作。</w:t>
            </w:r>
          </w:p>
        </w:tc>
      </w:tr>
      <w:tr w14:paraId="6560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397" w:type="pct"/>
            <w:vAlign w:val="center"/>
          </w:tcPr>
          <w:p w14:paraId="07C75CB2">
            <w:pPr>
              <w:keepNext w:val="0"/>
              <w:keepLines w:val="0"/>
              <w:suppressLineNumbers w:val="0"/>
              <w:adjustRightInd w:val="0"/>
              <w:snapToGrid w:val="0"/>
              <w:spacing w:before="0" w:beforeAutospacing="0" w:after="0" w:afterAutospacing="0"/>
              <w:ind w:left="0" w:right="0"/>
              <w:jc w:val="center"/>
              <w:rPr>
                <w:rFonts w:cs="仿宋" w:asciiTheme="minorEastAsia" w:hAnsiTheme="minorEastAsia" w:eastAsiaTheme="minorEastAsia"/>
                <w:bCs/>
                <w:sz w:val="20"/>
                <w:szCs w:val="20"/>
              </w:rPr>
            </w:pPr>
            <w:r>
              <w:rPr>
                <w:rFonts w:cs="仿宋" w:asciiTheme="minorEastAsia" w:hAnsiTheme="minorEastAsia" w:eastAsiaTheme="minorEastAsia"/>
                <w:bCs/>
                <w:sz w:val="20"/>
                <w:szCs w:val="20"/>
              </w:rPr>
              <w:t>7</w:t>
            </w:r>
          </w:p>
        </w:tc>
        <w:tc>
          <w:tcPr>
            <w:tcW w:w="4603" w:type="pct"/>
            <w:vAlign w:val="center"/>
          </w:tcPr>
          <w:p w14:paraId="676D67A2">
            <w:pPr>
              <w:keepNext w:val="0"/>
              <w:keepLines w:val="0"/>
              <w:suppressLineNumbers w:val="0"/>
              <w:adjustRightInd w:val="0"/>
              <w:snapToGrid w:val="0"/>
              <w:spacing w:before="0" w:beforeAutospacing="0" w:after="0" w:afterAutospacing="0"/>
              <w:ind w:left="0" w:right="0" w:firstLine="400"/>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负责服务中央国家机关、驻京部队、中央在京企事业单位和其他省区市驻京机构的综合协调工作。</w:t>
            </w:r>
          </w:p>
        </w:tc>
      </w:tr>
      <w:tr w14:paraId="1C055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397" w:type="pct"/>
            <w:vAlign w:val="center"/>
          </w:tcPr>
          <w:p w14:paraId="42E86EE8">
            <w:pPr>
              <w:keepNext w:val="0"/>
              <w:keepLines w:val="0"/>
              <w:suppressLineNumbers w:val="0"/>
              <w:adjustRightInd w:val="0"/>
              <w:snapToGrid w:val="0"/>
              <w:spacing w:before="0" w:beforeAutospacing="0" w:after="0" w:afterAutospacing="0"/>
              <w:ind w:left="0" w:right="0"/>
              <w:jc w:val="center"/>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8</w:t>
            </w:r>
          </w:p>
        </w:tc>
        <w:tc>
          <w:tcPr>
            <w:tcW w:w="4603" w:type="pct"/>
            <w:vAlign w:val="center"/>
          </w:tcPr>
          <w:p w14:paraId="0D1B8946">
            <w:pPr>
              <w:keepNext w:val="0"/>
              <w:keepLines w:val="0"/>
              <w:suppressLineNumbers w:val="0"/>
              <w:adjustRightInd w:val="0"/>
              <w:snapToGrid w:val="0"/>
              <w:spacing w:before="0" w:beforeAutospacing="0" w:after="0" w:afterAutospacing="0"/>
              <w:ind w:left="0" w:right="0" w:firstLine="400"/>
              <w:rPr>
                <w:rFonts w:cs="仿宋" w:asciiTheme="minorEastAsia" w:hAnsiTheme="minorEastAsia" w:eastAsiaTheme="minorEastAsia"/>
                <w:bCs/>
                <w:sz w:val="20"/>
                <w:szCs w:val="20"/>
              </w:rPr>
            </w:pPr>
            <w:r>
              <w:rPr>
                <w:rFonts w:hint="eastAsia" w:cs="仿宋" w:asciiTheme="minorEastAsia" w:hAnsiTheme="minorEastAsia" w:eastAsiaTheme="minorEastAsia"/>
                <w:bCs/>
                <w:sz w:val="20"/>
                <w:szCs w:val="20"/>
              </w:rPr>
              <w:t>完成市委、市政府交办的其他任务。</w:t>
            </w:r>
          </w:p>
        </w:tc>
      </w:tr>
    </w:tbl>
    <w:p w14:paraId="58765E5E">
      <w:pPr>
        <w:adjustRightInd w:val="0"/>
        <w:snapToGrid w:val="0"/>
        <w:spacing w:line="360" w:lineRule="auto"/>
        <w:ind w:firstLine="420" w:firstLineChars="200"/>
      </w:pPr>
    </w:p>
    <w:p w14:paraId="35D96857">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2.</w:t>
      </w:r>
      <w:r>
        <w:rPr>
          <w:rFonts w:hint="eastAsia" w:ascii="仿宋_GB2312" w:eastAsia="仿宋_GB2312"/>
          <w:bCs/>
          <w:sz w:val="32"/>
          <w:szCs w:val="32"/>
        </w:rPr>
        <w:t>部门2</w:t>
      </w:r>
      <w:r>
        <w:rPr>
          <w:rFonts w:ascii="仿宋_GB2312" w:eastAsia="仿宋_GB2312"/>
          <w:bCs/>
          <w:sz w:val="32"/>
          <w:szCs w:val="32"/>
        </w:rPr>
        <w:t>02</w:t>
      </w:r>
      <w:r>
        <w:rPr>
          <w:rFonts w:hint="eastAsia" w:ascii="仿宋_GB2312" w:eastAsia="仿宋_GB2312"/>
          <w:bCs/>
          <w:sz w:val="32"/>
          <w:szCs w:val="32"/>
        </w:rPr>
        <w:t>3年工作任务情况</w:t>
      </w:r>
    </w:p>
    <w:p w14:paraId="51DA6058">
      <w:pPr>
        <w:adjustRightInd w:val="0"/>
        <w:snapToGrid w:val="0"/>
        <w:spacing w:line="560" w:lineRule="exact"/>
        <w:ind w:firstLine="640" w:firstLineChars="200"/>
        <w:rPr>
          <w:rFonts w:ascii="黑体" w:hAnsi="黑体" w:eastAsia="黑体"/>
          <w:sz w:val="28"/>
          <w:szCs w:val="28"/>
        </w:rPr>
        <w:sectPr>
          <w:pgSz w:w="11906" w:h="16838"/>
          <w:pgMar w:top="1440" w:right="1474" w:bottom="1440" w:left="1588" w:header="851" w:footer="992" w:gutter="0"/>
          <w:pgNumType w:start="1"/>
          <w:cols w:space="425" w:num="1"/>
          <w:docGrid w:type="lines" w:linePitch="312" w:charSpace="0"/>
        </w:sectPr>
      </w:pPr>
      <w:r>
        <w:rPr>
          <w:rFonts w:hint="eastAsia" w:ascii="仿宋_GB2312" w:eastAsia="仿宋_GB2312"/>
          <w:bCs/>
          <w:sz w:val="32"/>
          <w:szCs w:val="32"/>
        </w:rPr>
        <w:t>在以往年度政务服务相关行动计划圆满完成的基础上，为全面贯彻党的二十大精神，2023年市政务服务局制定了《北京市2</w:t>
      </w:r>
      <w:r>
        <w:rPr>
          <w:rFonts w:ascii="仿宋_GB2312" w:eastAsia="仿宋_GB2312"/>
          <w:bCs/>
          <w:sz w:val="32"/>
          <w:szCs w:val="32"/>
        </w:rPr>
        <w:t>02</w:t>
      </w:r>
      <w:r>
        <w:rPr>
          <w:rFonts w:hint="eastAsia" w:ascii="仿宋_GB2312" w:eastAsia="仿宋_GB2312"/>
          <w:bCs/>
          <w:sz w:val="32"/>
          <w:szCs w:val="32"/>
        </w:rPr>
        <w:t>3年政务服务行动计划》，并上报市政府获得批复。</w:t>
      </w:r>
      <w:r>
        <w:rPr>
          <w:rFonts w:hint="eastAsia" w:ascii="仿宋_GB2312" w:eastAsia="仿宋_GB2312"/>
          <w:sz w:val="32"/>
          <w:szCs w:val="32"/>
        </w:rPr>
        <w:t>2</w:t>
      </w:r>
      <w:r>
        <w:rPr>
          <w:rFonts w:ascii="仿宋_GB2312" w:eastAsia="仿宋_GB2312"/>
          <w:sz w:val="32"/>
          <w:szCs w:val="32"/>
        </w:rPr>
        <w:t>02</w:t>
      </w:r>
      <w:r>
        <w:rPr>
          <w:rFonts w:hint="eastAsia" w:ascii="仿宋_GB2312" w:eastAsia="仿宋_GB2312"/>
          <w:sz w:val="32"/>
          <w:szCs w:val="32"/>
        </w:rPr>
        <w:t>3年政务服务行动计划主要工作任务情况见表2。</w:t>
      </w:r>
      <w:r>
        <w:rPr>
          <w:rFonts w:ascii="黑体" w:hAnsi="黑体" w:eastAsia="黑体"/>
          <w:sz w:val="28"/>
          <w:szCs w:val="28"/>
        </w:rPr>
        <w:br w:type="page"/>
      </w:r>
    </w:p>
    <w:p w14:paraId="6B485D60">
      <w:pPr>
        <w:adjustRightInd w:val="0"/>
        <w:snapToGrid w:val="0"/>
        <w:spacing w:line="360" w:lineRule="auto"/>
        <w:ind w:firstLine="560"/>
        <w:jc w:val="center"/>
        <w:rPr>
          <w:rFonts w:ascii="黑体" w:hAnsi="黑体" w:eastAsia="黑体"/>
          <w:sz w:val="28"/>
          <w:szCs w:val="28"/>
        </w:rPr>
      </w:pPr>
      <w:r>
        <w:rPr>
          <w:rFonts w:hint="eastAsia" w:ascii="黑体" w:hAnsi="黑体" w:eastAsia="黑体"/>
          <w:sz w:val="28"/>
          <w:szCs w:val="28"/>
        </w:rPr>
        <w:t>表</w:t>
      </w:r>
      <w:r>
        <w:rPr>
          <w:rFonts w:ascii="黑体" w:hAnsi="黑体" w:eastAsia="黑体"/>
          <w:sz w:val="28"/>
          <w:szCs w:val="28"/>
        </w:rPr>
        <w:t>2</w:t>
      </w:r>
      <w:r>
        <w:rPr>
          <w:rFonts w:hint="eastAsia" w:ascii="黑体" w:hAnsi="黑体" w:eastAsia="黑体"/>
          <w:sz w:val="28"/>
          <w:szCs w:val="28"/>
        </w:rPr>
        <w:t>：市政务服务局2</w:t>
      </w:r>
      <w:r>
        <w:rPr>
          <w:rFonts w:ascii="黑体" w:hAnsi="黑体" w:eastAsia="黑体"/>
          <w:sz w:val="28"/>
          <w:szCs w:val="28"/>
        </w:rPr>
        <w:t>02</w:t>
      </w:r>
      <w:r>
        <w:rPr>
          <w:rFonts w:hint="eastAsia" w:ascii="黑体" w:hAnsi="黑体" w:eastAsia="黑体"/>
          <w:sz w:val="28"/>
          <w:szCs w:val="28"/>
        </w:rPr>
        <w:t>3年主要任务情况</w:t>
      </w:r>
      <w:r>
        <w:rPr>
          <w:rFonts w:ascii="黑体" w:hAnsi="黑体" w:eastAsia="黑体"/>
          <w:sz w:val="28"/>
          <w:szCs w:val="28"/>
        </w:rPr>
        <w:t>表</w:t>
      </w:r>
    </w:p>
    <w:tbl>
      <w:tblPr>
        <w:tblStyle w:val="15"/>
        <w:tblW w:w="5169" w:type="pct"/>
        <w:tblInd w:w="-343" w:type="dxa"/>
        <w:tblLayout w:type="autofit"/>
        <w:tblCellMar>
          <w:top w:w="0" w:type="dxa"/>
          <w:left w:w="28" w:type="dxa"/>
          <w:bottom w:w="0" w:type="dxa"/>
          <w:right w:w="28" w:type="dxa"/>
        </w:tblCellMar>
      </w:tblPr>
      <w:tblGrid>
        <w:gridCol w:w="1493"/>
        <w:gridCol w:w="12807"/>
      </w:tblGrid>
      <w:tr w14:paraId="098D0DD0">
        <w:tblPrEx>
          <w:tblCellMar>
            <w:top w:w="0" w:type="dxa"/>
            <w:left w:w="28" w:type="dxa"/>
            <w:bottom w:w="0" w:type="dxa"/>
            <w:right w:w="28" w:type="dxa"/>
          </w:tblCellMar>
        </w:tblPrEx>
        <w:trPr>
          <w:trHeight w:val="280" w:hRule="atLeast"/>
          <w:tblHeader/>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A34C0">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主要任务</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2EFC6">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具体工作内容</w:t>
            </w:r>
          </w:p>
        </w:tc>
      </w:tr>
      <w:tr w14:paraId="241DDC32">
        <w:tblPrEx>
          <w:tblCellMar>
            <w:top w:w="0" w:type="dxa"/>
            <w:left w:w="28" w:type="dxa"/>
            <w:bottom w:w="0" w:type="dxa"/>
            <w:right w:w="28" w:type="dxa"/>
          </w:tblCellMar>
        </w:tblPrEx>
        <w:trPr>
          <w:trHeight w:val="650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AE947">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一、贯彻新发展理念，推动“五子”联动融入新发展格局，服务首都高质量发展：</w:t>
            </w:r>
          </w:p>
          <w:p w14:paraId="2D8D9A1D">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lang w:bidi="ar"/>
              </w:rPr>
              <w:t>聚焦国际科技创新中心、“两区”建设、全球数字经济标杆城市、国际消费中心城市、京津冀协同发展等中心工作，服务全市大局，深化改革创新，为首都高质量发展增添新动能新优势。</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197BD">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1.围绕国际科技创新中心建设推动政务改革。</w:t>
            </w:r>
            <w:r>
              <w:rPr>
                <w:rStyle w:val="35"/>
                <w:rFonts w:hint="default"/>
                <w:lang w:bidi="ar"/>
              </w:rPr>
              <w:t xml:space="preserve">聚焦企业和人才服务，将更多涉外审批服务事项纳入“一网通办”，实现科技型企业高频政务服务事项全覆盖，提供政策、人才、办事等全方位科创生态服务，完善国际科技组织、行业联盟、外资研发机构、跨国公司、国际科技服务机构等创新主体“服务包”制度，优化平衡服务和监管，促进企业创新发展。   </w:t>
            </w:r>
          </w:p>
          <w:p w14:paraId="46AA81B1">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2.围绕“两区”建设推动政务改革。</w:t>
            </w:r>
            <w:r>
              <w:rPr>
                <w:rStyle w:val="35"/>
                <w:rFonts w:hint="default"/>
                <w:lang w:bidi="ar"/>
              </w:rPr>
              <w:t>围绕深化服务业扩大开放、提升自贸区质效，积极开展规则、规制、管理、标准等制度型开放先行先试，深化制度创新，提升开放引领度。制定自贸区放宽市场准入特别措施清单，探索“承诺即入制”等改革。继续推动向自贸试验区下放行政审批权力，对已开展的赋权工作进行跟踪了解、回顾评估。在自贸区范围内，探索对食品、药品、医疗器械等许可和备案事项涉及的场所、设备、人员等审批条件实行告知承诺制，平均压减申请材料数量20%以上。优化12345市民服务热线“两区”建设咨询服务专线。推进重点园区服务升级，依托亦庄组团探索政务服务全过程、项目建设全环节便利化措施，建设“迎商中心2.0 版”。</w:t>
            </w:r>
          </w:p>
          <w:p w14:paraId="64334A66">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3.围绕全球数字经济标杆城市建设推动政务改革。</w:t>
            </w:r>
            <w:r>
              <w:rPr>
                <w:rStyle w:val="35"/>
                <w:rFonts w:hint="default"/>
                <w:lang w:bidi="ar"/>
              </w:rPr>
              <w:t>围绕用好数据这个最新最活跃的生产要素，进一步放宽市场准入，健全数字经济准入准营制度，破除数字经济发展隐性壁垒，减少数字经济线上线下相关重复审批。持续关注数字经济领域涌现的新业态新模式，充分吸收行业、企业的政策意见，探索建立符合数字经济发展特点的服务监管机制，促进数字经济核心产业集群化发展。优化申报流程，保障电子商务、数字服务等企业“走出去”。</w:t>
            </w:r>
          </w:p>
          <w:p w14:paraId="452F6A4E">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4.围绕供给侧结构性改革引领和创造新需求推动政务改革。</w:t>
            </w:r>
            <w:r>
              <w:rPr>
                <w:rStyle w:val="35"/>
                <w:rFonts w:hint="default"/>
                <w:lang w:bidi="ar"/>
              </w:rPr>
              <w:t>围绕加快产业结构优化升级，聚焦金融、信息、科技等现代服务业与先进制造业融合发展，优化食品经营许可证办理流程，实现第二类医疗器械备案全程网办、最多跑一次，优化相关领域审批流程。围绕国际消费中心城市建设，优化大型消费活动审批流程，制定提升消费活动审批时效性和便利性的具体措施，对消费活动相关审批建立“一窗受理”公共服务平台，开通传统商圈、传统商业设施等重大商业项目建设改造审批“绿色通道”，促进优质消费资源集聚，助力激活和扩大消费。 推行“演出活动一件事”改革，将举办大型演出活动涉及的营业性演出许可、大型群众性活动安全许可等审批服务事项整合为“一件事”，实行并联审批、全程网办。</w:t>
            </w:r>
          </w:p>
          <w:p w14:paraId="28F66195">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6"/>
                <w:rFonts w:hint="default"/>
                <w:lang w:bidi="ar"/>
              </w:rPr>
              <w:t>5.围绕京津冀协同发展推动政务改革。</w:t>
            </w:r>
            <w:r>
              <w:rPr>
                <w:rStyle w:val="35"/>
                <w:rFonts w:hint="default"/>
                <w:lang w:bidi="ar"/>
              </w:rPr>
              <w:t>健全京津冀营商环境一体化发展合作机制，落实京津冀政务服务合作框架协议，推进京津冀政务服务“跨省通办”、自贸区“同事同标”、中介服务平台协同、电子证照互认、个人办事结果互认等工作。以京津冀为重点，新增社保缴费、公积金补缴等22项“跨省通办”事项。结合非首都功能疏解、区域产业协同发展，加强政策协调衔接，统筹市场主体准入、准营和退出机制，便利企业跨区域经营、迁移。在自贸区“同事同标”基础上，探索推进京津冀区域行政许可事项同源、统一规范，加快实现高频事项无差别受理、同标准办理。加强京津冀中介服务机构、中介服务项目、信用信息共享对接。推进“热线+京津冀”建设，着力建设区域性政府服务热线大体系。</w:t>
            </w:r>
          </w:p>
        </w:tc>
      </w:tr>
      <w:tr w14:paraId="21BAFD16">
        <w:tblPrEx>
          <w:tblCellMar>
            <w:top w:w="0" w:type="dxa"/>
            <w:left w:w="28" w:type="dxa"/>
            <w:bottom w:w="0" w:type="dxa"/>
            <w:right w:w="28" w:type="dxa"/>
          </w:tblCellMar>
        </w:tblPrEx>
        <w:trPr>
          <w:trHeight w:val="744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6E40B">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二、推进现代化治理，探索形成超大城市治理“首都样板”，全心全力守好百姓日子：</w:t>
            </w:r>
          </w:p>
          <w:p w14:paraId="4EB7CB98">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lang w:bidi="ar"/>
              </w:rPr>
              <w:t>全面落实《北京市接诉即办工作条例》，用好接诉即办主抓手，聚焦“七有”“五性”解决好群众急难愁盼，加强央地、军地协调联动，更好履行首都职责，更好满足人民群众美好生活需要，更好建设国际一流的和谐宜居之都。</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8F92E">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6.落实《条例》“办实事”。</w:t>
            </w:r>
            <w:r>
              <w:rPr>
                <w:rStyle w:val="35"/>
                <w:rFonts w:hint="default"/>
                <w:lang w:bidi="ar"/>
              </w:rPr>
              <w:t>坚持民有所呼、我有所应，依法办理好每一件群众诉求和民生实事。抓好市人大执法检查反馈问题整改，深入推进《条例》落地见效，不断健全配套制度体系，提升12345平台服务水平，落实好首接负责、“吹哨报到”、提级响应、央地协调等工作机制，增强协同办理实效。深化与“公检法司”协同联动，强化110与12345市民服务热线常态化联勤工作模式，建立检察履职与群众诉求衔接机制，深化司法服务基层社会治理响应机制，引导律师、公证员、司法鉴定人、人民调解员积极参与，提升接诉即办制度化规范化法治化水平。</w:t>
            </w:r>
          </w:p>
          <w:p w14:paraId="1E8B1CC3">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7.重点攻坚“解难题”。</w:t>
            </w:r>
            <w:r>
              <w:rPr>
                <w:rStyle w:val="35"/>
                <w:rFonts w:hint="default"/>
                <w:lang w:bidi="ar"/>
              </w:rPr>
              <w:t>深入推进2023年“每月一题”市级17个问题治理，集中破解高频共性难题。完善区级“每月一题”机制，加强统筹调度、督办落实、服务保障。将治理类街乡镇作为“每月一题”的重点区、先行区、示范区，探索建立“每月一题”治理类街乡镇建议代表机制。推动行业治理与区域治理深度结合，推动区级“每月一题”与市级“每月一题”协同联动，构建市区两级行业主管部门主动治理激励机制。优化接诉即办考评体系，将首接负责、主动治理、解决疑难复杂问题激励等纳入考评体系，鼓励基层改革创新破解难题。</w:t>
            </w:r>
          </w:p>
          <w:p w14:paraId="19E26F15">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8.诉求驱动“促治理”。</w:t>
            </w:r>
            <w:r>
              <w:rPr>
                <w:rStyle w:val="35"/>
                <w:rFonts w:hint="default"/>
                <w:lang w:bidi="ar"/>
              </w:rPr>
              <w:t>围绕基层治理具体问题、具体场景，探索更多“小切口”改革，实现以点带面、标本兼治，更有针对性、靶向性地推进综合治理、集成改革，及时制定政策措施，形成长效机制。深入推动接诉即办向学校延伸，搭建立体化全天候诉求反映渠道，提高学校治理效能。发挥党建引领基层治理优势，加强基层民主协商，完善基层治理共建共治共享格局。</w:t>
            </w:r>
          </w:p>
          <w:p w14:paraId="2A49C4C9">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9.刀刃向内“推改革”。</w:t>
            </w:r>
            <w:r>
              <w:rPr>
                <w:rStyle w:val="35"/>
                <w:rFonts w:hint="default"/>
                <w:lang w:bidi="ar"/>
              </w:rPr>
              <w:t>以企业群众需求为导向，积极推动整合部门职责，提供场景化服务，优化完善公共服务资源配置新模式。优化派单异议审核流程和标准，开展类案分析，通过办理企业群众诉求，进一步明确各级各部门工作职责，优化工作流程。总结提炼“一方案三清单”等行之有效的改革举措，成熟一项、固化一项。</w:t>
            </w:r>
          </w:p>
          <w:p w14:paraId="4AF98718">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10.服务中央“强机制”。</w:t>
            </w:r>
            <w:r>
              <w:rPr>
                <w:rStyle w:val="35"/>
                <w:rFonts w:hint="default"/>
                <w:lang w:bidi="ar"/>
              </w:rPr>
              <w:t>发挥好首席联络官作用，投入更多资源提高服务能力，争取中央单位更多支持，更加充分地释放出蕴含在“四个中心”“四个服务”中的巨大发展能量。健全完善“双台账”统进统出机制，突出央地重点领域、重点部门，强化信息集成、双向协调，统筹推进服务事项和争取支持事项，促进“单向服务”向“双向协同”转变，积极争取中央单位支持“两区”“三平台”等重点建设，吸引更多高端要素和优质项目加速落地和集聚。加强区级外联服务工作机构建设，进一步向下延伸服务链条，在中央单位、驻京部队、外埠驻京机构相对集中的街道（乡镇）明确外联服务工作牵头部门及职责分工，逐步形成“市区对应、下沉街道”的三级服务力量。</w:t>
            </w:r>
          </w:p>
          <w:p w14:paraId="4E5989C1">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6"/>
                <w:rFonts w:hint="default"/>
                <w:lang w:bidi="ar"/>
              </w:rPr>
              <w:t>11.立足首都“优服务”。</w:t>
            </w:r>
            <w:r>
              <w:rPr>
                <w:rStyle w:val="35"/>
                <w:rFonts w:hint="default"/>
                <w:lang w:bidi="ar"/>
              </w:rPr>
              <w:t>深化央产小区接诉即办，建强区级层面的议事协商平台，全力支持中央单位推进老旧小区改造、加装电梯。强化“服务包”载体作用，精心选派服务管家，为重点央企、新落户央企等送上更多优惠便利。坚持服务保障与财源建设统筹推进，全力加强财源项目储备，促进央企将更多高质量项目在京落地。加强军地联络，协同办理驻京部队需求事项，争取驻京部队支持、参与首都经济社会发展。建立驻京机构党建协调委员会机制，加强驻京机构管理服务。</w:t>
            </w:r>
          </w:p>
        </w:tc>
      </w:tr>
      <w:tr w14:paraId="466E5D8D">
        <w:tblPrEx>
          <w:tblCellMar>
            <w:top w:w="0" w:type="dxa"/>
            <w:left w:w="28" w:type="dxa"/>
            <w:bottom w:w="0" w:type="dxa"/>
            <w:right w:w="28" w:type="dxa"/>
          </w:tblCellMar>
        </w:tblPrEx>
        <w:trPr>
          <w:trHeight w:val="638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34975F">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三、推进全链条改革，激发市场主体活力和社会创造力，大力提振市场信心：</w:t>
            </w:r>
          </w:p>
          <w:p w14:paraId="65788478">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lang w:bidi="ar"/>
              </w:rPr>
              <w:t>围绕企业全生命周期，持续深化简政放权、放管结合，降低制度性交易成本，促进公平竞争，优化营商环境，高效率助力企业提振信心恢复发展，推动经济运行整体好转。</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68463">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12.降低门槛。围绕经济体制改革，持续深化行政审批制度改革，进一步畅通准入、准营、变更、退出等全流程通道。</w:t>
            </w:r>
            <w:r>
              <w:rPr>
                <w:rStyle w:val="35"/>
                <w:rFonts w:hint="default"/>
                <w:lang w:bidi="ar"/>
              </w:rPr>
              <w:t>建立市场准入负面清单事项与政务服务事项关联衔接机制，实现政务服务事项与清单许可准入措施协同一致、动态管理。建立行政许可事项动态管理机制，组织编制市、区行政许可事项实施规范并向社会公布实施，做好行政许可事项运行评估。进一步消除变相许可和“假备案”等隐性壁垒。持续扩大告知承诺范围，推动市政基础设施等领域涉企经营许可事项告知承诺制改革由自贸试验区向全市推广，在医疗卫生、道路交通、文化体育等领域再推出30项以上告知承诺审批事项。深化“证照分离”改革，优化前置审批和企业登记办理流程。全面推行“一业一证”改革，鼓励各区探索“一业一证”定制化服务，探索跨领域跨行业“一证”改革。推进事项备查制改革。深化“一照（证）通办”改革，扩大试点范围，在医疗卫生、交通运输等领域推出60项“一照（证）通办”事项。完善市场主体歇业、注销登记配套制度，优化办理流程。提升办理破产窗口服务效能，允许破产管理人在市、区两级政务大厅集中办理破产信息查询、通知政府债权人债权申报等事项。持续减证便民，调整公布保留证明目录，对保留证明推行信息共享、告知承诺、凭证替代等便利化办理方式。</w:t>
            </w:r>
          </w:p>
          <w:p w14:paraId="6D08C970">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13.便利投资。总结固化疫情期间相关领域快审快批模式。</w:t>
            </w:r>
            <w:r>
              <w:rPr>
                <w:rStyle w:val="35"/>
                <w:rFonts w:hint="default"/>
                <w:lang w:bidi="ar"/>
              </w:rPr>
              <w:t>加速投资建设项目前期手续办理，推进项目审批由串联变为即时并联办理，全面实现工程建设项目审批“全程网办”。简化招标投标审批程序，加快推进公共资源交易规范化、服务便捷化、流程电子化。提高市政公用服务质量，实现水、电、气、热、通信、有线电视、网络等全部服务事项一口受理、一次踏勘、一站办结。深化“互联网+不动产登记”改革，提高知识产权审查管理效率，提升税费服务便利度。推动工业产品快速准入，优化工业产品生产许可审批流程。</w:t>
            </w:r>
          </w:p>
          <w:p w14:paraId="6EABDEE9">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14.场景改革。</w:t>
            </w:r>
            <w:r>
              <w:rPr>
                <w:rStyle w:val="35"/>
                <w:rFonts w:hint="default"/>
                <w:lang w:bidi="ar"/>
              </w:rPr>
              <w:t>从企业群众实际需求出发，优化业务流程、打通业务系统、强化数据共享，推动更多关联性强、办事需求量大的跨部门、跨层级政务服务事项实现“一件事一次办”。拓展“一件事”范围，实现住房公积金贷款申请、异地就医备案、工程建设、生产经营、惠企政策兑现等事项“一件事一次办”。制定“一件事一次办”实施细则，将“一件事一次办”事项纳入市、区、街道（乡镇</w:t>
            </w:r>
            <w:r>
              <w:rPr>
                <w:rStyle w:val="35"/>
                <w:rFonts w:hint="eastAsia"/>
                <w:lang w:eastAsia="zh-CN" w:bidi="ar"/>
              </w:rPr>
              <w:t>）</w:t>
            </w:r>
            <w:r>
              <w:rPr>
                <w:rStyle w:val="35"/>
                <w:rFonts w:hint="default"/>
                <w:lang w:bidi="ar"/>
              </w:rPr>
              <w:t>政务服务中心综合窗口办理，鼓励有条件的地区延伸至社区（村）便民服务站。鼓励各区结合功能定位、产业发展、重点项目等，推出更多区域性、场景化改革。</w:t>
            </w:r>
          </w:p>
          <w:p w14:paraId="2AED9600">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6"/>
                <w:rFonts w:hint="default"/>
                <w:lang w:bidi="ar"/>
              </w:rPr>
              <w:t>15.减少干扰。</w:t>
            </w:r>
            <w:r>
              <w:rPr>
                <w:rStyle w:val="35"/>
                <w:rFonts w:hint="default"/>
                <w:lang w:bidi="ar"/>
              </w:rPr>
              <w:t>推动“6+4”一体化综合监管改革，拓展更多应用场景落地，完善各司其职、各负其责、相互配合、齐抓共管的跨部门协同监管机制。调整优化“一业一册”，加快“一业一单”规范化梳理，在全市推动“一码检查”，建设全国市场监管数字化试验区。持续推动“双随机、一公开”监管常态化，健全市场监管系统“通用+专业”企业信用风险分类指标体系。</w:t>
            </w:r>
          </w:p>
        </w:tc>
      </w:tr>
      <w:tr w14:paraId="09392A4B">
        <w:tblPrEx>
          <w:tblCellMar>
            <w:top w:w="0" w:type="dxa"/>
            <w:left w:w="28" w:type="dxa"/>
            <w:bottom w:w="0" w:type="dxa"/>
            <w:right w:w="28" w:type="dxa"/>
          </w:tblCellMar>
        </w:tblPrEx>
        <w:trPr>
          <w:trHeight w:val="640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8E45D">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四、推进便利化升级，精准提供全流程全要素高品质服务，营造稳定公平透明可预期的发展环境：</w:t>
            </w:r>
          </w:p>
          <w:p w14:paraId="12C8784F">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lang w:bidi="ar"/>
              </w:rPr>
              <w:t>拓宽服务范围，优化服务方式，强化政策服务，延伸公共服务，推动政策制定的公平普惠、政策群体的精准覆盖、政策效果的量化评估、政策决策的科学高效，以优质服务、阳光透明赢得企业群众理解信任和稳定预期。</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9B5EA">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16.优化政务服务质效。</w:t>
            </w:r>
            <w:r>
              <w:rPr>
                <w:rStyle w:val="35"/>
                <w:rFonts w:hint="default"/>
                <w:lang w:bidi="ar"/>
              </w:rPr>
              <w:t>深化政务服务事项标准化核查，全面推进审管协同联动，设计逐层递进、简单易懂、个性化的办事指南。深化综窗2.0改革成果，实现区级政务服务中心事项进驻率100%、委托受理率100%和授权审批率100%，完成效能促进平台建设，提升政务服务大厅管理数字化、智能化水平。持续优化完善公众参与政务服务“好差评”模式和机制，鼓励引导政务服务方式创新。打造100个街道（乡镇）政务服务中心和1000个社区（村）规范化建设示范样板。持续推动政务服务向企业聚集度高的园区、商务楼宇、商圈延伸。开展下沉式服务，探索推进政务服务事项可在社区咨询、受理或初审。完善北京贷款服务中心功能。持续规范中介服务，加强中介服务平台运行管理。</w:t>
            </w:r>
          </w:p>
          <w:p w14:paraId="40C45D80">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17.增强政策服务能力。</w:t>
            </w:r>
            <w:r>
              <w:rPr>
                <w:rStyle w:val="35"/>
                <w:rFonts w:hint="default"/>
                <w:lang w:bidi="ar"/>
              </w:rPr>
              <w:t>深化政策征集、政策管理、政策解读、政策兑现、政策沟通、政策评价全流程服务。强化政策可操作性</w:t>
            </w:r>
            <w:r>
              <w:rPr>
                <w:rStyle w:val="35"/>
                <w:rFonts w:hint="eastAsia"/>
                <w:lang w:eastAsia="zh-CN" w:bidi="ar"/>
              </w:rPr>
              <w:t>，</w:t>
            </w:r>
            <w:r>
              <w:rPr>
                <w:rStyle w:val="35"/>
                <w:rFonts w:hint="default"/>
                <w:lang w:bidi="ar"/>
              </w:rPr>
              <w:t>同步出台实施细则、配套措施，开展“零办、少办”政策清理修订。推出政策解读通用化专题化模板指引，建立专家参与政策解读工作机制。开展市、区两级“政策公开讲”“政务开放日”等活动。细化完善各级政务服务中心政策传导和反馈机制。抓好窗口人员、一线执行人员的场景化政策培训，向企业群众提供场景化政策服务。打造公众评价政策专题，建立政策评价公众代表队伍。建立政策阅评机制，发挥专家咨询委员会、优化营商环境社会监督员、政务服务体验员以及第三方机构作用，定期对政策、解读、指南等是否及时公开、清晰易懂开展阅评，相关部门根据阅评结果及时更新完善。建立涉企政策评估调整机制，由市工商联等第三方机构定期开展实施情况评估</w:t>
            </w:r>
            <w:r>
              <w:rPr>
                <w:rStyle w:val="35"/>
                <w:rFonts w:hint="eastAsia"/>
                <w:lang w:eastAsia="zh-CN" w:bidi="ar"/>
              </w:rPr>
              <w:t>，</w:t>
            </w:r>
            <w:r>
              <w:rPr>
                <w:rStyle w:val="35"/>
                <w:rFonts w:hint="default"/>
                <w:lang w:bidi="ar"/>
              </w:rPr>
              <w:t>对企业反映手续繁琐、申请获得难、影响正常生产经营、相互“打架”的政策及时修订或废止。</w:t>
            </w:r>
          </w:p>
          <w:p w14:paraId="5F8AFAC3">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18.提升企业服务水平。</w:t>
            </w:r>
            <w:r>
              <w:rPr>
                <w:rStyle w:val="35"/>
                <w:rFonts w:hint="default"/>
                <w:lang w:bidi="ar"/>
              </w:rPr>
              <w:t>完善中小企业服务体系，推动市、区两级企业服务资源、系统平台与园区、商务楼宇、商圈对接。扩大企业服务专员队伍，对重点企业和专精特新企业实行全方位帮办服务。升级12345企业服务热线，与优化营商环境衔接融合，与政务服务大厅、审批职能部门一体联动，建立服务企业快速通道。健全常态化政企沟通机制和营商环境投诉处理机制，充分发挥“好差评”“办不成事”的“探头”作用，加强问题分析和制度完善</w:t>
            </w:r>
            <w:r>
              <w:rPr>
                <w:rStyle w:val="35"/>
                <w:rFonts w:hint="eastAsia"/>
                <w:lang w:eastAsia="zh-CN" w:bidi="ar"/>
              </w:rPr>
              <w:t>，</w:t>
            </w:r>
            <w:r>
              <w:rPr>
                <w:rStyle w:val="35"/>
                <w:rFonts w:hint="default"/>
                <w:lang w:bidi="ar"/>
              </w:rPr>
              <w:t>实现“一个诉求解决一类问题”。</w:t>
            </w:r>
          </w:p>
          <w:p w14:paraId="789390E3">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6"/>
                <w:rFonts w:hint="default"/>
                <w:lang w:bidi="ar"/>
              </w:rPr>
              <w:t>19.打造透明环境。</w:t>
            </w:r>
            <w:r>
              <w:rPr>
                <w:rStyle w:val="35"/>
                <w:rFonts w:hint="default"/>
                <w:lang w:bidi="ar"/>
              </w:rPr>
              <w:t>围绕经济高质量发展做好京津冀协同发展、优化营商环境改革、“三城一区”创新能级、高精尖产业发展、“两区”建设、数字经济标杆城市建设等重点工作信息公开。围绕城市精细化管理做好老旧小区改造、房地产市场监管、交通综合治理、生活垃圾分类、重大项目建设、污染防治等方面信息公开。围绕保障和改善民生做好专题信息公开。推进政府信息公开电子印章宣传推广和全面应用。推动政府网站和政务新媒体创新发展、一体化融合，实现同源发布、同源回应、同源服务。强化政务新媒体监督管理，持续推进移动端适老化与无障碍改造。优化升级政府网站集约化平台功能，加强统一知识问答库建设，紧贴群众需求畅通互动渠道。严格落实网络意识形态责任制，确保政府网站和政务新媒体安全平稳运行。推动政府规章和规范性文件通过政府公报统一刊登，提升数字公报服务能力。</w:t>
            </w:r>
          </w:p>
        </w:tc>
      </w:tr>
      <w:tr w14:paraId="33F68C80">
        <w:tblPrEx>
          <w:tblCellMar>
            <w:top w:w="0" w:type="dxa"/>
            <w:left w:w="28" w:type="dxa"/>
            <w:bottom w:w="0" w:type="dxa"/>
            <w:right w:w="28" w:type="dxa"/>
          </w:tblCellMar>
        </w:tblPrEx>
        <w:trPr>
          <w:trHeight w:val="790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53977A">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五、加强数字政府建设，释放数字红利，加速打造更加协同友好便利的数字服务：</w:t>
            </w:r>
          </w:p>
          <w:p w14:paraId="344C7FC7">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lang w:bidi="ar"/>
              </w:rPr>
              <w:t>强化用户思维，利用科技赋能，运用数据驱动政务服务持续提质增效，以最小颗粒度标准支撑多场景灵活配置，加强产品化开发推广，为企业群众提供协同友好便利的数字服务，以数字化改革引领政府运行机制、服务流程和治理模式全方位系统性变革。</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4AF13">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20.加强数字政务顶层设计。</w:t>
            </w:r>
            <w:r>
              <w:rPr>
                <w:rStyle w:val="35"/>
                <w:rFonts w:hint="default"/>
                <w:lang w:bidi="ar"/>
              </w:rPr>
              <w:t>充分发挥数字政务工作专班统筹协调作用，出台数字政务改革提质增效三年行动计划，一体推进数字服务、数字营商、数字监管建设，加快构建数字政务体系。以国家区块链试点和本市智慧城市建设、数字政务建设、营商环境等重点任务为抓手，以平台建设和场景应用为重点，以提升企业群众体验为核心，以新技术应用和数据安全为保障，加快推进业务、平台、运营三位一体的数字服务体系建设。加强整体协同、系统集成，贯通数字化建设基础支撑，统筹推进板块之间、系统之间、层级之间、区域之间技术融合、数据融合、业务融合。</w:t>
            </w:r>
          </w:p>
          <w:p w14:paraId="6E79B8F4">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21.加大数字服务建设力度。</w:t>
            </w:r>
            <w:r>
              <w:rPr>
                <w:rStyle w:val="35"/>
                <w:rFonts w:hint="default"/>
                <w:lang w:bidi="ar"/>
              </w:rPr>
              <w:t>升级改造数字服务平台，夯实数字政务底座支撑能力，落实市区一体化联动运营机制，制定数字服务平台运营管理办法，全面提升便民利企服务能级。提高“一网通办”质效，实现市区两级政务服务事项统一申办。充分利用国家授权的系统、证照、数据，在企业办事“一照通办”等领域打造数字化改革场景，推行统一申办受理模式，在政务服务网新增单位缴存住房公积金、档案接收、城乡居民养老保险待遇申领、社会保障卡补领换领等500个以上事项。全面落实国家区块链创新试点任务，加快电子印章、证照和档案在政务服务领域应用，推出20类电子证照在线查询调用，在市政府门户网站推出户政服务、培训就业等9项便民导航功能，持续深化“好办”“易办”服务体验。实现更多事项“掌上办”，依托“京通”小程序，推出社保、医疗、婚育、住房、就业等领域600个以上政务服务事项，逐步覆盖各领域移动端公共服务。探索元宇宙在政务服务领域场景应用，推出首批办事解读类数字人服务指引和“自助办”数字人服务引导，探索设置智能服务专员窗口、线上虚拟政务服务专员。鼓励相关区结合新建政务服务大厅，试点建设智慧大厅、虚拟大厅，探索数字孪生服务。</w:t>
            </w:r>
          </w:p>
          <w:p w14:paraId="4B1DFCA6">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22.打造接诉即办“智慧大脑”。</w:t>
            </w:r>
            <w:r>
              <w:rPr>
                <w:rStyle w:val="35"/>
                <w:rFonts w:hint="default"/>
                <w:lang w:bidi="ar"/>
              </w:rPr>
              <w:t>提升热线畅通、派单精准、办理高效、考评科学能力，实现智能化和人性化相结合。加速接诉即办数智转型，将区块链、人工智能、大数据等数字技术融入诉求办理全流程和热线发展的全生命周期，完善知识库运行机制，增强算法能力，深挖数据富矿，优化智能统计分析、城市预警感知等功能，推动从“传感器”向“处理器”、从“晴雨表”到“诊断书”的转型升级。加快韧性热线建设，做好规模性应急处置资源能力储备，健全大规模应急状态下接诉即办运行机制，推进“集中话务职场+远程移动</w:t>
            </w:r>
            <w:r>
              <w:rPr>
                <w:rStyle w:val="35"/>
                <w:rFonts w:hint="eastAsia"/>
                <w:lang w:eastAsia="zh-CN" w:bidi="ar"/>
              </w:rPr>
              <w:t>座席</w:t>
            </w:r>
            <w:r>
              <w:rPr>
                <w:rStyle w:val="35"/>
                <w:rFonts w:hint="default"/>
                <w:lang w:bidi="ar"/>
              </w:rPr>
              <w:t>”综合体建设。</w:t>
            </w:r>
          </w:p>
          <w:p w14:paraId="67986F81">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23.推进数字政策平台建设。</w:t>
            </w:r>
            <w:r>
              <w:rPr>
                <w:rStyle w:val="35"/>
                <w:rFonts w:hint="default"/>
                <w:lang w:bidi="ar"/>
              </w:rPr>
              <w:t>围绕政策全链条管理、全流程服务，统筹建设全市一体化政策支撑平台“京策”，建设集政策精算、推送、兑现、监管、评估全周期管理的“政策治理大脑”，搭建市区两级政策服务体系，打通政策落地“最后一公里”，为企业群众、业务部门、领导决策做好政策服务。着力强化政策兑现，推动使用财政资金的惠企政策全面纳入“京策”平台。</w:t>
            </w:r>
          </w:p>
          <w:p w14:paraId="5624059E">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6"/>
                <w:rFonts w:hint="default"/>
                <w:lang w:bidi="ar"/>
              </w:rPr>
              <w:t>24.加强数据应用开放。</w:t>
            </w:r>
            <w:r>
              <w:rPr>
                <w:rStyle w:val="35"/>
                <w:rFonts w:hint="default"/>
                <w:lang w:bidi="ar"/>
              </w:rPr>
              <w:t>围绕全国一体化政务大数据体系建设，推进数据目录、数据资源、共享交换、数据服务等融合，打通各板块、各业务、各服务渠道数据，整合形成民生大数据富矿，通过数据“聚变”形成场景应用、服务优化“裂变”，通过平台化应用促进高水平数据联通。加强数据全周期管理，深化统一信息资源库、政策库、标签库、知识库等建设。深化大数据挖掘，运用海量数据和智能算法，将预警发现、数据分析等赋能改革前线、治理一线，推动履职平台、服务平台向治理平台延伸，有效赋能领导决策、政府治理、流程再造和业务协同。加强数据共享，推动数据“回流”“反哺”部门、基层。加大数据公开力度，提升公众使用数据便利性，推进政府数据社会利用，充分释放数据红利，更好发挥数据要素作用。</w:t>
            </w:r>
          </w:p>
        </w:tc>
      </w:tr>
      <w:tr w14:paraId="7E0997C6">
        <w:tblPrEx>
          <w:tblCellMar>
            <w:top w:w="0" w:type="dxa"/>
            <w:left w:w="28" w:type="dxa"/>
            <w:bottom w:w="0" w:type="dxa"/>
            <w:right w:w="28" w:type="dxa"/>
          </w:tblCellMar>
        </w:tblPrEx>
        <w:trPr>
          <w:trHeight w:val="656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B7CDC">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六、坚持国际化提升，打造政务服务国际品牌，更好服务高水平对外开放：</w:t>
            </w:r>
          </w:p>
          <w:p w14:paraId="6070EE47">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lang w:bidi="ar"/>
              </w:rPr>
              <w:t>围绕国际交往中心功能定位，对标国际先进经验，提高线上线下国际政务服务水平，服务企业“引进来”“走出去”，助力塑造国际合作与竞争新优势、打造高水平制度型开放桥头堡、构建高水平市场体系。</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5D123">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25.加快国际化制度改革。</w:t>
            </w:r>
            <w:r>
              <w:rPr>
                <w:rStyle w:val="35"/>
                <w:rFonts w:hint="default"/>
                <w:lang w:bidi="ar"/>
              </w:rPr>
              <w:t>稳步扩大制度型开放，以世行BEE（宜商环境评价）为契机，对照RCEP（区域全面经济伙伴关系协定）、CPTPP（全面与进步跨太平洋伙伴关系协定）和DEPA（数字经济伙伴关系协定）等高标准经贸协议相关规则，对标国际一流和最佳实践，深化相关领域改革，加大政策创新力度，构建具有国际竞争力的政策制度体系。加强与相关国际通行规则对接，提高制度规则的国际化水平，在跟跑领域认真学习借鉴，在并跑领域结合实际取长补短，在领跑领域努力推动北京规则上升为中国规则、国际通行规则，在新兴领域着力抢占制高点、增强话语权。</w:t>
            </w:r>
          </w:p>
          <w:p w14:paraId="6C061B96">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26.升级国际化网上服务。</w:t>
            </w:r>
            <w:r>
              <w:rPr>
                <w:rStyle w:val="35"/>
                <w:rFonts w:hint="default"/>
                <w:lang w:bidi="ar"/>
              </w:rPr>
              <w:t>以升级国际版门户网站为抓手，构建10语种、全场景服务、全渠道融合的全市一体化网上国际服务平台。提升涉外政策服务质效，推动外资企业政策应享尽享、快速兑现，推动外资企业设立、变更登记等更多涉外服务事项“全程网办”。聚焦外国人高频需求，推动签证、护照、个人身份信息等在线身份认证，实现更多事项网上办理。加强外语版旅游服务平台建设，完善预约挂号等外语就医服务，推出AI智能问答系统（英文版），常态化开展“外国人走流程”“外资企业跑程序”，提升涉外服务全程跟踪、督办、预警能力。</w:t>
            </w:r>
          </w:p>
          <w:p w14:paraId="48371A0B">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27.丰富国际化大厅服务。</w:t>
            </w:r>
            <w:r>
              <w:rPr>
                <w:rStyle w:val="35"/>
                <w:rFonts w:hint="default"/>
                <w:lang w:bidi="ar"/>
              </w:rPr>
              <w:t>提升市政务服务中心国际化服务水平，优化提升国际人才引进服务专区，提高窗口人员外语服务能力。打造涉外服务综合窗口，推动涉外政务服务事项统一进驻市、区两级政务服务中心，实现“一窗受理、并联办理”。严格落实政务服务领域国际语言环境建设和维护标准规范，实现常态化实施、标准化管理。建立长效管理机制，加大对各级政务服务大厅国际语言环境建设的巡查力度。</w:t>
            </w:r>
          </w:p>
          <w:p w14:paraId="7DFEE8FF">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28.优化国际化热线服务。</w:t>
            </w:r>
            <w:r>
              <w:rPr>
                <w:rStyle w:val="35"/>
                <w:rFonts w:hint="default"/>
                <w:lang w:bidi="ar"/>
              </w:rPr>
              <w:t>加强12345市民服务热线国际化建设，完善外籍人士诉求受理办理机制，为外籍人士提供8语种“三方在线”服务。优化英语专席，定期开展12345热线全员英语对话培训，规范涉外诉求办理流程，纳入接诉即办工作机制。探索多语种智能</w:t>
            </w:r>
            <w:r>
              <w:rPr>
                <w:rStyle w:val="35"/>
                <w:rFonts w:hint="eastAsia"/>
                <w:lang w:eastAsia="zh-CN" w:bidi="ar"/>
              </w:rPr>
              <w:t>座席</w:t>
            </w:r>
            <w:r>
              <w:rPr>
                <w:rStyle w:val="35"/>
                <w:rFonts w:hint="default"/>
                <w:lang w:bidi="ar"/>
              </w:rPr>
              <w:t>服务模式，借助人工智能和大数据等技术，打造智能化运营管理模式，提升热线服务质效。依托12345企业服务热线，增设外资企业热线入口，提供多语种服务，实现外资企业问题和诉求“接诉即办”。</w:t>
            </w:r>
          </w:p>
          <w:p w14:paraId="4F627B06">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29.打造国际化服务品牌。</w:t>
            </w:r>
            <w:r>
              <w:rPr>
                <w:rStyle w:val="35"/>
                <w:rFonts w:hint="default"/>
                <w:lang w:bidi="ar"/>
              </w:rPr>
              <w:t>完善外资企业和在京外国人联系服务机制，提供全生命周期管家式服务、专业商务服务、交互式贴心服务。品牌化打出面向国际的北京服务价值主张，多维度讲好大国首都宜居宜商故事，讲述企业发展故事、企业家成长故事、城市活力故事、北京文化故事，打造有传播力影响力的国际化政务服务品牌。</w:t>
            </w:r>
          </w:p>
          <w:p w14:paraId="077098FC">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b/>
                <w:bCs/>
                <w:lang w:bidi="ar"/>
              </w:rPr>
              <w:t>30.服务企业高水平“走出去”。</w:t>
            </w:r>
            <w:r>
              <w:rPr>
                <w:rStyle w:val="35"/>
                <w:rFonts w:hint="default"/>
                <w:lang w:bidi="ar"/>
              </w:rPr>
              <w:t>践行共商共建共享理念，更好发挥政策服务、平台搭建等方面作用，为企业融入国际市场创造良好条件。探索推出“走出去”专题服务，建立健全企业“走出去”需求收集反馈机制，“向前一步”主动提供风险预警等服务，积极回应企业诉求，在行政许可、公共服务等方面优化服务、提升便利，为畅通要素流动、促进国内国际双循环做好服务保障。</w:t>
            </w:r>
          </w:p>
        </w:tc>
      </w:tr>
      <w:tr w14:paraId="20314801">
        <w:tblPrEx>
          <w:tblCellMar>
            <w:top w:w="0" w:type="dxa"/>
            <w:left w:w="28" w:type="dxa"/>
            <w:bottom w:w="0" w:type="dxa"/>
            <w:right w:w="28" w:type="dxa"/>
          </w:tblCellMar>
        </w:tblPrEx>
        <w:trPr>
          <w:trHeight w:val="570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D8490">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七、加强一体化融合，激发改革新动能，推动首都政务服务整体升级：</w:t>
            </w:r>
          </w:p>
          <w:p w14:paraId="7B7642AF">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lang w:bidi="ar"/>
              </w:rPr>
              <w:t>坚持整体政府理念，构建接诉即办改革、“放管服”改革、为中央单位服务、政务公开工作耦合联动、系统集成的改革整体架构，推进改革、治理、服务一体化，增强合力、共同发力，实现政策统一、规则一致、执行协同、无缝衔接。</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9CD9C">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31.深化改革一体化。</w:t>
            </w:r>
            <w:r>
              <w:rPr>
                <w:rStyle w:val="35"/>
                <w:rFonts w:hint="default"/>
                <w:lang w:bidi="ar"/>
              </w:rPr>
              <w:t>围绕“五子”联动等中心工作，聚焦企业群众诉求，结合区域产业发展规划，统筹改革职能融合、力量组合，围绕全生命周期开展全链条改革，形成“群众诉求</w:t>
            </w:r>
            <w:r>
              <w:rPr>
                <w:rStyle w:val="35"/>
                <w:rFonts w:hint="eastAsia"/>
                <w:lang w:eastAsia="zh-CN" w:bidi="ar"/>
              </w:rPr>
              <w:t>－</w:t>
            </w:r>
            <w:r>
              <w:rPr>
                <w:rStyle w:val="35"/>
                <w:rFonts w:hint="default"/>
                <w:lang w:bidi="ar"/>
              </w:rPr>
              <w:t>推进改革</w:t>
            </w:r>
            <w:r>
              <w:rPr>
                <w:rStyle w:val="35"/>
                <w:rFonts w:hint="eastAsia"/>
                <w:lang w:eastAsia="zh-CN" w:bidi="ar"/>
              </w:rPr>
              <w:t>－</w:t>
            </w:r>
            <w:r>
              <w:rPr>
                <w:rStyle w:val="35"/>
                <w:rFonts w:hint="default"/>
                <w:lang w:bidi="ar"/>
              </w:rPr>
              <w:t>优化服务</w:t>
            </w:r>
            <w:r>
              <w:rPr>
                <w:rStyle w:val="35"/>
                <w:rFonts w:hint="eastAsia"/>
                <w:lang w:eastAsia="zh-CN" w:bidi="ar"/>
              </w:rPr>
              <w:t>－</w:t>
            </w:r>
            <w:r>
              <w:rPr>
                <w:rStyle w:val="35"/>
                <w:rFonts w:hint="default"/>
                <w:lang w:bidi="ar"/>
              </w:rPr>
              <w:t>群众检验”的改革闭环。贯通“放”“管”“服”，加强审批、监管、执法等全环节衔接。健全业务部门、数据管理部门和数据使用部门协调机制，推进核心业务数字化，提高“供数”“采数”“管数”“用数”效率，实现业务协同与技术赋能并重、制度改革与数字化改革联动。全口径汇聚企业通过市民服务热线、政务服务大厅、政府网站等渠道对营商环境的诉求及评价，分析研判企业高频共性问题，持续推动改革深化。加强市区联动、形成叠加优势，合力打造上下贯通、纵向一体的改革共同体。鼓励各区结合区域优势和发展规划，推出首创性改革。</w:t>
            </w:r>
          </w:p>
          <w:p w14:paraId="0FAF82BE">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32.推动治理一体化。</w:t>
            </w:r>
            <w:r>
              <w:rPr>
                <w:rStyle w:val="35"/>
                <w:rFonts w:hint="default"/>
                <w:lang w:bidi="ar"/>
              </w:rPr>
              <w:t>整合资源力量，优化职能分工，形成跨层级、跨区域、跨部门的整体治理体系，构建上下贯通、执行有力、运转顺畅的治理格局，织密一张协同、高效、精准的治理网络，将首都快速响应市民诉求的制度优势转变为诉求驱动超大城市治理效能。坚持党委领导、政府负责及社会力量广泛参与，强化群众主体作用，加大社会公开力度，引导市场、企业、社会组织、民间团体积极参与，建设社会治理共同体。践行《城市治理现代化北京宣言》达成的共识，加强同国内兄弟城市、世界友好城市的交流合作，构建城市发展伙伴关系，携手推进城市治理现代化，共同实现“善治”目标。</w:t>
            </w:r>
          </w:p>
          <w:p w14:paraId="5806FB03">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6"/>
                <w:rFonts w:hint="default"/>
                <w:lang w:bidi="ar"/>
              </w:rPr>
              <w:t>33.加强服务一体化。</w:t>
            </w:r>
            <w:r>
              <w:rPr>
                <w:rStyle w:val="35"/>
                <w:rFonts w:hint="default"/>
                <w:lang w:bidi="ar"/>
              </w:rPr>
              <w:t>深化服务渠道融合，推动热线平台、政府网站、政务新媒体、实体大厅、自助端等线上线下融合发展，构建全时在线、渠道多元、泛在可及、同质高效的一体化服务体系。深化服务标准统一，推进同一事项受理条件、办理流程、申请材料等要素内容全市统一，提供全城、全网灵活选择、无缝切换、无感交互的无差别服务。深化服务范围集成，探索分级在各类政务服务大厅拓展意见建议征集、政策宣传解读、改革落地评价、公共服务、专业商业服务等全场景服务，为市场主体提供在地化、陪伴成长式服务。推广“党务+政务”试点工作经验，探索“党务+政务+服务”综合服务模式，广泛延伸政务服务触角，支持园区、商务楼宇、商圈等在政策解读、业务培训、项目办理、政策兑现、诉求解决等方面更好服务企业。</w:t>
            </w:r>
          </w:p>
        </w:tc>
      </w:tr>
      <w:tr w14:paraId="660BC94C">
        <w:tblPrEx>
          <w:tblCellMar>
            <w:top w:w="0" w:type="dxa"/>
            <w:left w:w="28" w:type="dxa"/>
            <w:bottom w:w="0" w:type="dxa"/>
            <w:right w:w="28" w:type="dxa"/>
          </w:tblCellMar>
        </w:tblPrEx>
        <w:trPr>
          <w:trHeight w:val="5420" w:hRule="atLeast"/>
        </w:trPr>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7E28C">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八、抓好体系建设，形成更大改革合力，筑牢新时代政务服务新发展坚实基础：</w:t>
            </w:r>
          </w:p>
          <w:p w14:paraId="38CA6720">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5"/>
                <w:rFonts w:hint="default"/>
                <w:lang w:bidi="ar"/>
              </w:rPr>
              <w:t>加强工作体系、理论体系、法治体系、标准体系、队伍体系建设，进一步凝聚合力、打通链条，释放改革综合效应，为首都政务服务高质量发展提供有力支撑。</w:t>
            </w:r>
          </w:p>
        </w:tc>
        <w:tc>
          <w:tcPr>
            <w:tcW w:w="4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451C9">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Fonts w:hint="eastAsia" w:ascii="宋体" w:hAnsi="宋体" w:cs="宋体"/>
                <w:b/>
                <w:bCs/>
                <w:color w:val="000000"/>
                <w:kern w:val="0"/>
                <w:sz w:val="20"/>
                <w:szCs w:val="20"/>
                <w:lang w:bidi="ar"/>
              </w:rPr>
              <w:t>34.加强工作体系建设。</w:t>
            </w:r>
            <w:r>
              <w:rPr>
                <w:rStyle w:val="35"/>
                <w:rFonts w:hint="default"/>
                <w:lang w:bidi="ar"/>
              </w:rPr>
              <w:t>健全完善市、区、街（乡镇）、社区（村）政务服务工作体系，形成横向到边、纵向到底、上下贯通、协同联动的工作格局。充分发挥议事协调机构作用，调动各方资源和力量，统筹推进各项工作。推进接诉即办、政务服务、为中央单位服务、政务公开有机融合、协调运行，强化上下层级之间纵向协同，推进各级各部门统筹协调。</w:t>
            </w:r>
          </w:p>
          <w:p w14:paraId="2CBE11B0">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35.加强理论体系建设。</w:t>
            </w:r>
            <w:r>
              <w:rPr>
                <w:rStyle w:val="35"/>
                <w:rFonts w:hint="default"/>
                <w:lang w:bidi="ar"/>
              </w:rPr>
              <w:t>进一步推动理论研究，形成逻辑合理、体系清晰的改革理论框架，持续优化改革整体架构。组成理论研究推动小组，全面推动政、学、研各界相关理论研究，加大理论研究力度，提炼改革成果，交流改革经验，讲好改革故事，推进改革深化。用好接诉即办改革论坛成果，深化与中国社会科学院合作，推动成立实体化研究机构，依托社科基金项目，扩展接诉即办、“放管服”改革理论研究。深入开展调查研究，组织多层次理论研讨、动员多层次研究力量，拓展理论研究广度。建立改革案例库，定期分批发布改革案例。</w:t>
            </w:r>
          </w:p>
          <w:p w14:paraId="32E80A44">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36.加强法治体系建设。</w:t>
            </w:r>
            <w:r>
              <w:rPr>
                <w:rStyle w:val="35"/>
                <w:rFonts w:hint="default"/>
                <w:lang w:bidi="ar"/>
              </w:rPr>
              <w:t>坚持法定职责必须为、法无授权不可为，发挥法治引领和保障作用，切实履行好新出台政策措施的合法性审查、公平竞争审查等法定程序，保障各项改革依法有序推进。全面落实《接诉即办工作条例》《优化营商环境条例》《政府信息公开条例》等法律法规，加大普法宣传力度，强化公共法律服务，</w:t>
            </w:r>
            <w:r>
              <w:rPr>
                <w:rStyle w:val="35"/>
                <w:rFonts w:hint="eastAsia"/>
                <w:lang w:eastAsia="zh-CN" w:bidi="ar"/>
              </w:rPr>
              <w:t>增强</w:t>
            </w:r>
            <w:r>
              <w:rPr>
                <w:rStyle w:val="35"/>
                <w:rFonts w:hint="default"/>
                <w:lang w:bidi="ar"/>
              </w:rPr>
              <w:t>法治意识和法治观念，提高规范化科学化水平。</w:t>
            </w:r>
          </w:p>
          <w:p w14:paraId="4987A5F1">
            <w:pPr>
              <w:keepNext w:val="0"/>
              <w:keepLines w:val="0"/>
              <w:widowControl/>
              <w:suppressLineNumbers w:val="0"/>
              <w:spacing w:before="0" w:beforeAutospacing="0" w:after="0" w:afterAutospacing="0"/>
              <w:ind w:left="0" w:right="0" w:firstLine="402"/>
              <w:jc w:val="left"/>
              <w:textAlignment w:val="center"/>
              <w:rPr>
                <w:rStyle w:val="35"/>
                <w:rFonts w:hint="eastAsia" w:eastAsia="宋体"/>
                <w:lang w:eastAsia="zh-CN" w:bidi="ar"/>
              </w:rPr>
            </w:pPr>
            <w:r>
              <w:rPr>
                <w:rStyle w:val="36"/>
                <w:rFonts w:hint="default"/>
                <w:lang w:bidi="ar"/>
              </w:rPr>
              <w:t>37.加强标准体系建设。</w:t>
            </w:r>
            <w:r>
              <w:rPr>
                <w:rStyle w:val="35"/>
                <w:rFonts w:hint="default"/>
                <w:lang w:bidi="ar"/>
              </w:rPr>
              <w:t>落实《12345热线服务与管理规范》《政务服务中心服务与管理规范》《政务服务事项规范》《政务服务综合窗口人员能力与服务规范》等标准规范，加强全系统培训，抓好督促检查，用标准固化工作流程，提供更高品质的服务。组织编制《公众参与政务服务“好差评”工作规范》地方标准，完善公众参与政务服务“好差评”指数。探索研究政府网站、政务新媒体服务标准建设。</w:t>
            </w:r>
          </w:p>
          <w:p w14:paraId="714C27AF">
            <w:pPr>
              <w:keepNext w:val="0"/>
              <w:keepLines w:val="0"/>
              <w:widowControl/>
              <w:suppressLineNumbers w:val="0"/>
              <w:spacing w:before="0" w:beforeAutospacing="0" w:after="0" w:afterAutospacing="0"/>
              <w:ind w:left="0" w:right="0" w:firstLine="402"/>
              <w:jc w:val="left"/>
              <w:textAlignment w:val="center"/>
              <w:rPr>
                <w:rFonts w:ascii="宋体" w:hAnsi="宋体" w:cs="宋体"/>
                <w:b/>
                <w:bCs/>
                <w:color w:val="000000"/>
                <w:sz w:val="20"/>
                <w:szCs w:val="20"/>
              </w:rPr>
            </w:pPr>
            <w:r>
              <w:rPr>
                <w:rStyle w:val="36"/>
                <w:rFonts w:hint="default"/>
                <w:lang w:bidi="ar"/>
              </w:rPr>
              <w:t>38.加强队伍体系建设。</w:t>
            </w:r>
            <w:r>
              <w:rPr>
                <w:rStyle w:val="35"/>
                <w:rFonts w:hint="default"/>
                <w:lang w:bidi="ar"/>
              </w:rPr>
              <w:t>落实干部队伍建设三年工作计划，优化干部队伍结构，加强具有法治意识、数字素养和国际视野的专业人才建设，着力打造新时代高素质政务服务干部队伍。营造政务服务文化，加强业务培训、测评和考核。加强外包人员管理，完善激励机制。深入开展接诉即办表彰、“小小窗口，满满服务”专项行动、“北京榜样·政务服务之星”主题活动、基层政务服务优秀案例（调研报告）征集活动，持续打造荣誉激励体系，健全市、区、街道（乡镇）、居（村）四级服务评价体系。加大对基层的指导支持力度，调动和保护基层干部积极性，增强全系统凝聚力和战斗力。</w:t>
            </w:r>
          </w:p>
        </w:tc>
      </w:tr>
    </w:tbl>
    <w:p w14:paraId="771F8487">
      <w:pPr>
        <w:adjustRightInd w:val="0"/>
        <w:snapToGrid w:val="0"/>
        <w:spacing w:line="360" w:lineRule="auto"/>
        <w:ind w:firstLine="560" w:firstLineChars="200"/>
        <w:jc w:val="center"/>
        <w:rPr>
          <w:rFonts w:ascii="黑体" w:hAnsi="黑体" w:eastAsia="黑体"/>
          <w:sz w:val="28"/>
          <w:szCs w:val="28"/>
        </w:rPr>
      </w:pPr>
    </w:p>
    <w:p w14:paraId="27D6F3D4">
      <w:pPr>
        <w:adjustRightInd w:val="0"/>
        <w:snapToGrid w:val="0"/>
        <w:spacing w:line="360" w:lineRule="auto"/>
        <w:ind w:firstLine="560" w:firstLineChars="200"/>
        <w:jc w:val="center"/>
        <w:rPr>
          <w:rFonts w:ascii="黑体" w:hAnsi="黑体" w:eastAsia="黑体"/>
          <w:sz w:val="28"/>
          <w:szCs w:val="28"/>
        </w:rPr>
      </w:pPr>
    </w:p>
    <w:p w14:paraId="2DCED91F">
      <w:pPr>
        <w:adjustRightInd w:val="0"/>
        <w:snapToGrid w:val="0"/>
        <w:spacing w:line="360" w:lineRule="auto"/>
        <w:ind w:firstLine="560" w:firstLineChars="200"/>
        <w:jc w:val="center"/>
        <w:rPr>
          <w:rFonts w:ascii="黑体" w:hAnsi="黑体" w:eastAsia="黑体"/>
          <w:sz w:val="28"/>
          <w:szCs w:val="28"/>
        </w:rPr>
        <w:sectPr>
          <w:pgSz w:w="16838" w:h="11906" w:orient="landscape"/>
          <w:pgMar w:top="1800" w:right="1474" w:bottom="1800" w:left="1588" w:header="851" w:footer="992" w:gutter="0"/>
          <w:cols w:space="425" w:num="1"/>
          <w:docGrid w:type="lines" w:linePitch="312" w:charSpace="0"/>
        </w:sectPr>
      </w:pPr>
    </w:p>
    <w:p w14:paraId="2E788A26">
      <w:pPr>
        <w:adjustRightInd w:val="0"/>
        <w:snapToGrid w:val="0"/>
        <w:spacing w:line="560" w:lineRule="exact"/>
        <w:ind w:firstLine="640" w:firstLineChars="200"/>
        <w:outlineLvl w:val="1"/>
        <w:rPr>
          <w:rFonts w:ascii="楷体_GB2312" w:eastAsia="楷体_GB2312"/>
          <w:sz w:val="32"/>
          <w:szCs w:val="32"/>
        </w:rPr>
      </w:pPr>
      <w:bookmarkStart w:id="5" w:name="_Toc31265"/>
      <w:bookmarkStart w:id="6" w:name="_Toc16396"/>
      <w:r>
        <w:rPr>
          <w:rFonts w:hint="eastAsia" w:ascii="楷体_GB2312" w:eastAsia="楷体_GB2312"/>
          <w:sz w:val="32"/>
          <w:szCs w:val="32"/>
        </w:rPr>
        <w:t>（二）部门整体绩效目标设立情况</w:t>
      </w:r>
      <w:bookmarkEnd w:id="5"/>
      <w:bookmarkEnd w:id="6"/>
    </w:p>
    <w:p w14:paraId="0B4305DD">
      <w:pPr>
        <w:adjustRightInd w:val="0"/>
        <w:snapToGrid w:val="0"/>
        <w:spacing w:line="560" w:lineRule="exact"/>
        <w:ind w:firstLine="640" w:firstLineChars="200"/>
        <w:outlineLvl w:val="2"/>
        <w:rPr>
          <w:rFonts w:ascii="仿宋_GB2312" w:eastAsia="仿宋_GB2312"/>
          <w:sz w:val="32"/>
          <w:szCs w:val="32"/>
        </w:rPr>
      </w:pPr>
      <w:r>
        <w:rPr>
          <w:rFonts w:hint="eastAsia" w:ascii="仿宋_GB2312" w:eastAsia="仿宋_GB2312"/>
          <w:sz w:val="32"/>
          <w:szCs w:val="32"/>
        </w:rPr>
        <w:t>1.绩效目标设立依据</w:t>
      </w:r>
    </w:p>
    <w:p w14:paraId="005E4080">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根据《北京市预算绩效目标管理办法》（京财绩效〔</w:t>
      </w:r>
      <w:r>
        <w:rPr>
          <w:rFonts w:ascii="仿宋_GB2312" w:eastAsia="仿宋_GB2312"/>
          <w:sz w:val="32"/>
          <w:szCs w:val="32"/>
        </w:rPr>
        <w:t>2020</w:t>
      </w:r>
      <w:r>
        <w:rPr>
          <w:rFonts w:hint="eastAsia" w:ascii="仿宋_GB2312" w:eastAsia="仿宋_GB2312"/>
          <w:sz w:val="32"/>
          <w:szCs w:val="32"/>
        </w:rPr>
        <w:t>〕</w:t>
      </w:r>
      <w:r>
        <w:rPr>
          <w:rFonts w:ascii="仿宋_GB2312" w:eastAsia="仿宋_GB2312"/>
          <w:sz w:val="32"/>
          <w:szCs w:val="32"/>
        </w:rPr>
        <w:t>2137</w:t>
      </w:r>
      <w:r>
        <w:rPr>
          <w:rFonts w:hint="eastAsia" w:ascii="仿宋_GB2312" w:eastAsia="仿宋_GB2312"/>
          <w:sz w:val="32"/>
          <w:szCs w:val="32"/>
        </w:rPr>
        <w:t>号）的规定，部门（单位）整体支出绩效目标是指市级预算部门或单位按照确定的职责，利用全部部门预算资金在一定期限内预期达到的总体产出和效果。绩效目标设定的依据包括：国家相关</w:t>
      </w:r>
      <w:r>
        <w:rPr>
          <w:rFonts w:hint="eastAsia" w:ascii="仿宋_GB2312" w:eastAsia="仿宋_GB2312"/>
          <w:sz w:val="32"/>
          <w:szCs w:val="32"/>
          <w:lang w:eastAsia="zh-CN"/>
        </w:rPr>
        <w:t>法律法规</w:t>
      </w:r>
      <w:r>
        <w:rPr>
          <w:rFonts w:hint="eastAsia" w:ascii="仿宋_GB2312" w:eastAsia="仿宋_GB2312"/>
          <w:sz w:val="32"/>
          <w:szCs w:val="32"/>
        </w:rPr>
        <w:t>和规章制度，国民经济和社会发展规划；北京市相关法规、规章制度；市级预算部门及单位职能、中长期发展规划、年度工作计划或项目规划；北京市中期财政规划；市级财政部门中期和年度预算管理要求；相关历史数据、行业标准、计划标准等；市级财政部门、市级预算部门事前评估结果；符合市级财政部门要求的其他依据。</w:t>
      </w:r>
    </w:p>
    <w:p w14:paraId="15DB7505">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2022年10月，市政务服务局以市委市政府重大决策部署及部门履职职责、任务目标为核心，以2023年度工作开展及实际需求为出发点、以财政资金使用效益为抓手、以重点项目保障为落脚点，按照北京市财政局（以下简称“市财政局”）2023年预算编报要求，在对往年部门整体绩效目标及各项工作任务目标完成情况分析完善的基础上，设定了2</w:t>
      </w:r>
      <w:r>
        <w:rPr>
          <w:rFonts w:ascii="仿宋_GB2312" w:eastAsia="仿宋_GB2312"/>
          <w:sz w:val="32"/>
          <w:szCs w:val="32"/>
        </w:rPr>
        <w:t>02</w:t>
      </w:r>
      <w:r>
        <w:rPr>
          <w:rFonts w:hint="eastAsia" w:ascii="仿宋_GB2312" w:eastAsia="仿宋_GB2312"/>
          <w:sz w:val="32"/>
          <w:szCs w:val="32"/>
        </w:rPr>
        <w:t>3年度部门整体绩效目标与指标，具体考虑要点如下：</w:t>
      </w:r>
    </w:p>
    <w:p w14:paraId="46F64605">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一是明确部门工作职责。根据部门工作职能，明确各项具体工作职责。</w:t>
      </w:r>
    </w:p>
    <w:p w14:paraId="74BD63DA">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二是确定任务及总目标。结合部门中长期及年度工作计划，明确年度主要工作任务，预计年度内履职所要达到的预期产出及效果，确定部门总体目标。</w:t>
      </w:r>
    </w:p>
    <w:p w14:paraId="515B5305">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三是确定分项工作活动。结合各内设机构及所属事业单位的具体工作职责及年度任务，统筹、整合形成分项工作活动。</w:t>
      </w:r>
    </w:p>
    <w:p w14:paraId="7AC0F919">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四是制定绩效指标。根据分项工作活动，分解、细化形成各项工作任务的预期产出与效果，并结合年度预算安排情况、重点项目情况，梳理与其相对应的重点项目，制定绩效指标。</w:t>
      </w:r>
    </w:p>
    <w:p w14:paraId="3037B01E">
      <w:pPr>
        <w:adjustRightInd w:val="0"/>
        <w:snapToGrid w:val="0"/>
        <w:spacing w:line="560" w:lineRule="exact"/>
        <w:ind w:firstLine="640" w:firstLineChars="200"/>
        <w:outlineLvl w:val="2"/>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.年度绩效目标及绩效指标</w:t>
      </w:r>
    </w:p>
    <w:p w14:paraId="33E73E9E">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按照市财政局有关要求，市政务服务局2023年度部门整体绩效目标随同部门预算一并公开。具体如下：</w:t>
      </w:r>
    </w:p>
    <w:p w14:paraId="468D63E5">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部门整体年度绩效目标：（1）根据北京市委关于制定“十四五”规划和2035年远景目标的建议，抓好党的二十大精神学习贯彻，坚持党建引领政务服务事业发展。基于2019年政务服务跨越发展、2020年政务服务超越发展、2021年政务服务领先发展、2022年行动计划以及市政务服务局组建以来的重点工作取得成效情况，制定市政务服务局工作规划，结合市政务服务局部门职责及实际工作需要，确定部门年度重点工作安排。（2）在保障在编人员基本经费及日常办公等运转经费的基础上，统筹管理政务大厅综合窗口人员、大厅接待人员、市公共资源交易综合分平台运行服务保障人员、长聘司机及热线服务人员等编外用工人员，最大程度地发挥用人效率，促进其为办事企业与群众进一步提供专业、高效服务。（3）认真履行好“放管服”改革工作、政务服务大厅服务保障及政务服务体系规划建设等政务服务管理、政府信息公开和政务公开、公共资源交易场所服务管理工作、接诉即办及数字化转型、</w:t>
      </w:r>
      <w:r>
        <w:rPr>
          <w:rFonts w:hint="eastAsia" w:ascii="仿宋_GB2312" w:eastAsia="仿宋_GB2312"/>
          <w:sz w:val="32"/>
          <w:szCs w:val="32"/>
          <w:lang w:val="en-US" w:eastAsia="zh-CN"/>
        </w:rPr>
        <w:t>市民热线、</w:t>
      </w:r>
      <w:r>
        <w:rPr>
          <w:rFonts w:hint="eastAsia" w:ascii="仿宋_GB2312" w:eastAsia="仿宋_GB2312"/>
          <w:sz w:val="32"/>
          <w:szCs w:val="32"/>
        </w:rPr>
        <w:t>外联工作、政务中心信息化运维、政务服务信息化系统建设及运维等任务活动</w:t>
      </w:r>
      <w:r>
        <w:rPr>
          <w:rFonts w:hint="eastAsia" w:ascii="仿宋_GB2312" w:eastAsia="仿宋_GB2312"/>
          <w:sz w:val="32"/>
          <w:szCs w:val="32"/>
          <w:lang w:eastAsia="zh-CN"/>
        </w:rPr>
        <w:t>以及其他</w:t>
      </w:r>
      <w:r>
        <w:rPr>
          <w:rFonts w:hint="eastAsia" w:ascii="仿宋_GB2312" w:eastAsia="仿宋_GB2312"/>
          <w:sz w:val="32"/>
          <w:szCs w:val="32"/>
        </w:rPr>
        <w:t>服务保障类任务活动。通过年度各项重点任务及工作开展，推动政务服务管理效率和服务水平提升，切实解决企业及公众需求，提升政务服务整体水平及社会影响力，推动我市营商环境持续优化。</w:t>
      </w:r>
    </w:p>
    <w:p w14:paraId="73AC1F32">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围绕部门整体年度绩效目标、核心工作任务，市政务服务局分解确定了11类活动，并制订了绩效指标，具体见表3所示：</w:t>
      </w:r>
    </w:p>
    <w:p w14:paraId="34B83321">
      <w:pPr>
        <w:adjustRightInd w:val="0"/>
        <w:snapToGrid w:val="0"/>
        <w:spacing w:line="560" w:lineRule="exact"/>
        <w:ind w:firstLine="560" w:firstLineChars="200"/>
        <w:jc w:val="center"/>
        <w:rPr>
          <w:rFonts w:ascii="黑体" w:hAnsi="黑体" w:eastAsia="黑体"/>
          <w:sz w:val="28"/>
          <w:szCs w:val="28"/>
        </w:rPr>
      </w:pPr>
      <w:r>
        <w:rPr>
          <w:rFonts w:hint="eastAsia" w:ascii="黑体" w:hAnsi="黑体" w:eastAsia="黑体"/>
          <w:sz w:val="28"/>
          <w:szCs w:val="28"/>
        </w:rPr>
        <w:t>表</w:t>
      </w:r>
      <w:r>
        <w:rPr>
          <w:rFonts w:ascii="黑体" w:hAnsi="黑体" w:eastAsia="黑体"/>
          <w:sz w:val="28"/>
          <w:szCs w:val="28"/>
        </w:rPr>
        <w:t>3</w:t>
      </w:r>
      <w:r>
        <w:rPr>
          <w:rFonts w:hint="eastAsia" w:ascii="黑体" w:hAnsi="黑体" w:eastAsia="黑体"/>
          <w:sz w:val="28"/>
          <w:szCs w:val="28"/>
        </w:rPr>
        <w:t>：市政务服务局</w:t>
      </w:r>
      <w:r>
        <w:rPr>
          <w:rFonts w:ascii="黑体" w:hAnsi="黑体" w:eastAsia="黑体"/>
          <w:sz w:val="28"/>
          <w:szCs w:val="28"/>
        </w:rPr>
        <w:t>202</w:t>
      </w:r>
      <w:r>
        <w:rPr>
          <w:rFonts w:hint="eastAsia" w:ascii="黑体" w:hAnsi="黑体" w:eastAsia="黑体"/>
          <w:sz w:val="28"/>
          <w:szCs w:val="28"/>
        </w:rPr>
        <w:t>3</w:t>
      </w:r>
      <w:r>
        <w:rPr>
          <w:rFonts w:ascii="黑体" w:hAnsi="黑体" w:eastAsia="黑体"/>
          <w:sz w:val="28"/>
          <w:szCs w:val="28"/>
        </w:rPr>
        <w:t>年度</w:t>
      </w:r>
      <w:r>
        <w:rPr>
          <w:rFonts w:hint="eastAsia" w:ascii="黑体" w:hAnsi="黑体" w:eastAsia="黑体"/>
          <w:sz w:val="28"/>
          <w:szCs w:val="28"/>
        </w:rPr>
        <w:t>部门绩效指标</w:t>
      </w:r>
    </w:p>
    <w:tbl>
      <w:tblPr>
        <w:tblStyle w:val="15"/>
        <w:tblW w:w="5533" w:type="pct"/>
        <w:jc w:val="center"/>
        <w:tblLayout w:type="autofit"/>
        <w:tblCellMar>
          <w:top w:w="0" w:type="dxa"/>
          <w:left w:w="28" w:type="dxa"/>
          <w:bottom w:w="0" w:type="dxa"/>
          <w:right w:w="28" w:type="dxa"/>
        </w:tblCellMar>
      </w:tblPr>
      <w:tblGrid>
        <w:gridCol w:w="650"/>
        <w:gridCol w:w="1020"/>
        <w:gridCol w:w="8179"/>
      </w:tblGrid>
      <w:tr w14:paraId="64DE517A">
        <w:tblPrEx>
          <w:tblCellMar>
            <w:top w:w="0" w:type="dxa"/>
            <w:left w:w="28" w:type="dxa"/>
            <w:bottom w:w="0" w:type="dxa"/>
            <w:right w:w="28" w:type="dxa"/>
          </w:tblCellMar>
        </w:tblPrEx>
        <w:trPr>
          <w:trHeight w:val="280" w:hRule="atLeast"/>
          <w:tblHeader/>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F3491">
            <w:pPr>
              <w:keepNext w:val="0"/>
              <w:keepLines w:val="0"/>
              <w:widowControl/>
              <w:suppressLineNumbers w:val="0"/>
              <w:spacing w:before="0" w:beforeAutospacing="0" w:after="0" w:afterAutospacing="0"/>
              <w:ind w:left="0" w:right="0"/>
              <w:jc w:val="both"/>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序号</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82797">
            <w:pPr>
              <w:keepNext w:val="0"/>
              <w:keepLines w:val="0"/>
              <w:widowControl/>
              <w:suppressLineNumbers w:val="0"/>
              <w:spacing w:before="0" w:beforeAutospacing="0" w:after="0" w:afterAutospacing="0"/>
              <w:ind w:left="0" w:right="0"/>
              <w:jc w:val="both"/>
              <w:textAlignment w:val="center"/>
              <w:rPr>
                <w:rFonts w:ascii="宋体" w:hAnsi="宋体" w:cs="宋体"/>
                <w:b/>
                <w:bCs/>
                <w:color w:val="000000"/>
                <w:sz w:val="20"/>
                <w:szCs w:val="20"/>
              </w:rPr>
            </w:pPr>
            <w:r>
              <w:rPr>
                <w:rFonts w:hint="eastAsia" w:ascii="宋体" w:hAnsi="宋体" w:cs="宋体"/>
                <w:b/>
                <w:bCs/>
                <w:color w:val="000000"/>
                <w:sz w:val="20"/>
                <w:szCs w:val="20"/>
              </w:rPr>
              <w:t>工作活动</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B8912">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sz w:val="20"/>
                <w:szCs w:val="20"/>
              </w:rPr>
              <w:t>绩效指标</w:t>
            </w:r>
          </w:p>
        </w:tc>
      </w:tr>
      <w:tr w14:paraId="3FA31883">
        <w:tblPrEx>
          <w:tblCellMar>
            <w:top w:w="0" w:type="dxa"/>
            <w:left w:w="28" w:type="dxa"/>
            <w:bottom w:w="0" w:type="dxa"/>
            <w:right w:w="28" w:type="dxa"/>
          </w:tblCellMar>
        </w:tblPrEx>
        <w:trPr>
          <w:trHeight w:val="182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14AB5">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5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AF9EB">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政府网站建设管理工作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B9735">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政府网站和政务新媒体检查频次＝4次/年；北京市政府国际版门户网站8语种运营内容种类（首页、政务公开、北京信息、主题服务、互动交流、最新动态）≥6类；政府网站和政务新媒体各考核评估单位数量≥70家；门户网站外语翻译质量忠于原文，准确率高，语言流畅，表达地道；界面清晰美观 信息全面规范；政府网站和政务新媒体考核及评估材料全面检查快速准确、问题精准；全年范围内门户网站运营服务时间＝12月；持续发现各单位政府网站和政务新媒体问题，促进优化整改；打造一站式网上国际化服务总平台、总窗口，为外国人和外国投资者提供国际化服务；服务国内国际双循环大局提升北京国际竞争力。</w:t>
            </w:r>
          </w:p>
        </w:tc>
      </w:tr>
      <w:tr w14:paraId="431136B3">
        <w:tblPrEx>
          <w:tblCellMar>
            <w:top w:w="0" w:type="dxa"/>
            <w:left w:w="28" w:type="dxa"/>
            <w:bottom w:w="0" w:type="dxa"/>
            <w:right w:w="28" w:type="dxa"/>
          </w:tblCellMar>
        </w:tblPrEx>
        <w:trPr>
          <w:trHeight w:val="130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2BA5F">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DCC340E">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公共资源交易服务管理工作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F3D38">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中介服务网上交易平台运维内容（日常业务技术运维、平台功能优化、日常业务服务管理支撑等）≥3类；综合分平台开标、清标、评标、土地交易服务场数≥3000场；综合分平台运行服务保障团队人数数量≥25人；平台平稳、高效运行率＝100%；按照既定时间要求及时完成月报、半年总结、全年总结＝100%；保障公共资源交易综合分平台进场交易项目的运行服务工作，实现公共资源交易全过程信息公开；保障北京市中介服务网上交易正常开展。</w:t>
            </w:r>
          </w:p>
        </w:tc>
      </w:tr>
      <w:tr w14:paraId="77FD7E77">
        <w:tblPrEx>
          <w:tblCellMar>
            <w:top w:w="0" w:type="dxa"/>
            <w:left w:w="28" w:type="dxa"/>
            <w:bottom w:w="0" w:type="dxa"/>
            <w:right w:w="28" w:type="dxa"/>
          </w:tblCellMar>
        </w:tblPrEx>
        <w:trPr>
          <w:trHeight w:val="260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6A1E5">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3F2EAA47">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市政务服务中心建设工作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4BD4D">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教育活动组织等综合服务保障、后勤服务保障、办公经费保障、疫情防控保障等保障性事项＝4项；开展监督检查、投诉接待辅助、考核评价数据收集整理、满意度调查、对市政务服务中心窗口人员的服务行为进行监督检查和评价、对市政务服务中心窗口人员进行服务行为规范培训工作≥6项；市政务服务中心信息大屏宣传节目制作总数≥24期；政务大厅综合窗口人员及大厅接待人员数量≥337人；服务保障人员仪容仪表及行为符合规范，宣传节目制作符合优化营商环境、深化“放管服”改革工作、“十四五</w:t>
            </w:r>
            <w:r>
              <w:rPr>
                <w:rFonts w:hint="eastAsia" w:ascii="宋体" w:hAnsi="宋体" w:cs="宋体"/>
                <w:color w:val="000000"/>
                <w:kern w:val="0"/>
                <w:sz w:val="20"/>
                <w:szCs w:val="20"/>
                <w:lang w:eastAsia="zh-CN" w:bidi="ar"/>
              </w:rPr>
              <w:t>”、</w:t>
            </w:r>
            <w:bookmarkStart w:id="51" w:name="_GoBack"/>
            <w:r>
              <w:rPr>
                <w:rFonts w:hint="eastAsia" w:ascii="宋体" w:hAnsi="宋体" w:cs="宋体"/>
                <w:color w:val="000000"/>
                <w:kern w:val="0"/>
                <w:sz w:val="20"/>
                <w:szCs w:val="20"/>
                <w:lang w:eastAsia="zh-CN" w:bidi="ar"/>
              </w:rPr>
              <w:t>党的</w:t>
            </w:r>
            <w:r>
              <w:rPr>
                <w:rFonts w:hint="eastAsia" w:ascii="宋体" w:hAnsi="宋体" w:cs="宋体"/>
                <w:color w:val="000000"/>
                <w:kern w:val="0"/>
                <w:sz w:val="20"/>
                <w:szCs w:val="20"/>
                <w:lang w:bidi="ar"/>
              </w:rPr>
              <w:t>二十大</w:t>
            </w:r>
            <w:bookmarkEnd w:id="51"/>
            <w:r>
              <w:rPr>
                <w:rFonts w:hint="eastAsia" w:ascii="宋体" w:hAnsi="宋体" w:cs="宋体"/>
                <w:color w:val="000000"/>
                <w:kern w:val="0"/>
                <w:sz w:val="20"/>
                <w:szCs w:val="20"/>
                <w:lang w:bidi="ar"/>
              </w:rPr>
              <w:t>、党建党史学习等要求，宣传内容正面，贴合公众兴趣及需求；全年范围内提供市政务服务中心相关建设服务保障工作＝12月；通过综合窗口人员服务保障、运行服务保障、监督检查平台运行保障等工作的开展，保障市政务服务中心正常工作的开展，综合窗口服务能力得到全面提升，社会表彰度得以提高，为办事企业与群众提供专业、高效服务。</w:t>
            </w:r>
          </w:p>
        </w:tc>
      </w:tr>
      <w:tr w14:paraId="6C3A17EA">
        <w:tblPrEx>
          <w:tblCellMar>
            <w:top w:w="0" w:type="dxa"/>
            <w:left w:w="28" w:type="dxa"/>
            <w:bottom w:w="0" w:type="dxa"/>
            <w:right w:w="28" w:type="dxa"/>
          </w:tblCellMar>
        </w:tblPrEx>
        <w:trPr>
          <w:trHeight w:val="78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EA10D">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C7440B5">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信息公开工作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4FE74">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完成北京市政府信息和政务公开工作第三方评估及《北京市政府信息公开工作年度报告》编制工作＝2项；报告印刷质量完好，排版符合</w:t>
            </w:r>
            <w:r>
              <w:rPr>
                <w:rFonts w:hint="eastAsia" w:ascii="宋体" w:hAnsi="宋体" w:cs="宋体"/>
                <w:color w:val="000000"/>
                <w:kern w:val="0"/>
                <w:sz w:val="20"/>
                <w:szCs w:val="20"/>
                <w:lang w:eastAsia="zh-CN" w:bidi="ar"/>
              </w:rPr>
              <w:t>报告</w:t>
            </w:r>
            <w:r>
              <w:rPr>
                <w:rFonts w:hint="eastAsia" w:ascii="宋体" w:hAnsi="宋体" w:cs="宋体"/>
                <w:color w:val="000000"/>
                <w:kern w:val="0"/>
                <w:sz w:val="20"/>
                <w:szCs w:val="20"/>
                <w:lang w:bidi="ar"/>
              </w:rPr>
              <w:t>格式；报告完成时间≤12月；提高群众对北京市政府信息公开工作的认知和满意度，保证公众知情权和监督权，提高北京市政务公开工作整体排名。</w:t>
            </w:r>
          </w:p>
        </w:tc>
      </w:tr>
      <w:tr w14:paraId="723B3B50">
        <w:tblPrEx>
          <w:tblCellMar>
            <w:top w:w="0" w:type="dxa"/>
            <w:left w:w="28" w:type="dxa"/>
            <w:bottom w:w="0" w:type="dxa"/>
            <w:right w:w="28" w:type="dxa"/>
          </w:tblCellMar>
        </w:tblPrEx>
        <w:trPr>
          <w:trHeight w:val="130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E381E">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0B200D8">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新闻宣传工作（市政府公报编制工作）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4A9C2">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市民对话一把手”及“市民对话基层一把手”节目制作时长＝880分钟；《北京市人民政府公报》发行数量＝10.896万册；制作政务服务微视频、微短剧、宣传片、人物专题片、电视专题片等电子媒体产品制作数量≥114个；舆情监测覆盖范围广，政策、重点工作解读易懂、实用，宣传内容积极正面、美术设计简洁美观；全年范围内配合相关重点工作及政策发布时间进行宣传推广时间＝12月；提升政策覆盖率和知晓度，增强企业群众获得感和参与感。</w:t>
            </w:r>
          </w:p>
        </w:tc>
      </w:tr>
      <w:tr w14:paraId="5A8755E5">
        <w:tblPrEx>
          <w:tblCellMar>
            <w:top w:w="0" w:type="dxa"/>
            <w:left w:w="28" w:type="dxa"/>
            <w:bottom w:w="0" w:type="dxa"/>
            <w:right w:w="28" w:type="dxa"/>
          </w:tblCellMar>
        </w:tblPrEx>
        <w:trPr>
          <w:trHeight w:val="182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0B3D3">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A11FB74">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“接诉即办”工作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FD1FB">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12345社情民意播报、我们在行动、“听民意解民忧</w:t>
            </w:r>
            <w:r>
              <w:rPr>
                <w:rFonts w:hint="eastAsia" w:ascii="宋体" w:hAnsi="宋体" w:cs="宋体"/>
                <w:color w:val="000000"/>
                <w:kern w:val="0"/>
                <w:sz w:val="20"/>
                <w:szCs w:val="20"/>
                <w:lang w:eastAsia="zh-CN" w:bidi="ar"/>
              </w:rPr>
              <w:t>”《</w:t>
            </w:r>
            <w:r>
              <w:rPr>
                <w:rFonts w:hint="eastAsia" w:ascii="宋体" w:hAnsi="宋体" w:cs="宋体"/>
                <w:color w:val="000000"/>
                <w:kern w:val="0"/>
                <w:sz w:val="20"/>
                <w:szCs w:val="20"/>
                <w:lang w:bidi="ar"/>
              </w:rPr>
              <w:t>接诉即办》纪实性栏目制作总期数≥461期；750个市民热线</w:t>
            </w:r>
            <w:r>
              <w:rPr>
                <w:rFonts w:hint="eastAsia" w:ascii="宋体" w:hAnsi="宋体" w:cs="宋体"/>
                <w:color w:val="000000"/>
                <w:kern w:val="0"/>
                <w:sz w:val="20"/>
                <w:szCs w:val="20"/>
                <w:lang w:eastAsia="zh-CN" w:bidi="ar"/>
              </w:rPr>
              <w:t>座席</w:t>
            </w:r>
            <w:r>
              <w:rPr>
                <w:rFonts w:hint="eastAsia" w:ascii="宋体" w:hAnsi="宋体" w:cs="宋体"/>
                <w:color w:val="000000"/>
                <w:kern w:val="0"/>
                <w:sz w:val="20"/>
                <w:szCs w:val="20"/>
                <w:lang w:bidi="ar"/>
              </w:rPr>
              <w:t>配备热线服务人员数量≥1710人；调研材料、分析报告等成果的合格率≥95%；市民热线服务人工接通率、接诉即办栏目制作自采自编率≥95%；完成数据智能分析及第三方核查、第三方大数据挖掘及评估分析、接诉即办“每月一题”治理公众满意度调查工作≥3项；热线服务保障时间＝12月；“接诉即办”栏目报道及时性≤7天；提升12345社会影响力，增多12345话务量或网上各渠道反馈，促进热线数字化转型，挖掘城市运行发展规律，发现群众反映的热难点问题，并推进解决，推动“接诉即办”向“未诉先办”转变。</w:t>
            </w:r>
          </w:p>
        </w:tc>
      </w:tr>
      <w:tr w14:paraId="43690891">
        <w:tblPrEx>
          <w:tblCellMar>
            <w:top w:w="0" w:type="dxa"/>
            <w:left w:w="28" w:type="dxa"/>
            <w:bottom w:w="0" w:type="dxa"/>
            <w:right w:w="28" w:type="dxa"/>
          </w:tblCellMar>
        </w:tblPrEx>
        <w:trPr>
          <w:trHeight w:val="182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E71E6">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17484380">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全市四级政务服务体系建设工作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667F5">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开展4轮政务服务事项标准化核查、全市17个区“好差评”指数评价、100台政务服务便民自助终端租赁与运维以及第四届“北京榜样·政务服务之星”评选、推荐与宣讲工作＝4项；政务服务便民自助平台系统稳定运行并发量100人以上，政务服务核查事项要素完备度90%以上，事项核查及好差评指数评价整体、阶段性成果报告验收评审通过；政务服务事项标准化核查及好差评指数评价成果材料整体撰写完成时间≤12月；为企业提供引导式的事项办事指南服务，明确各类公众对政务服务的差异化需求、纠正政务服务供给侧与消费侧间的偏差，提升一体化咨询服务能力及政务服务精确供给能力。</w:t>
            </w:r>
          </w:p>
        </w:tc>
      </w:tr>
      <w:tr w14:paraId="73C1F905">
        <w:tblPrEx>
          <w:tblCellMar>
            <w:top w:w="0" w:type="dxa"/>
            <w:left w:w="28" w:type="dxa"/>
            <w:bottom w:w="0" w:type="dxa"/>
            <w:right w:w="28" w:type="dxa"/>
          </w:tblCellMar>
        </w:tblPrEx>
        <w:trPr>
          <w:trHeight w:val="234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656B3">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2E8A4AE0">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政务服务中心信息运维工作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C04E4">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数字服务平台统一申办受理平台单一事项入驻交付数量≥500个；数字服务平台统一申办受理平台单一事项入驻交付数量数字服务平台统一申办受理平台单一事项入驻交付数量≥1项；通过租用政务云租用服务，提供10项政务云基础服务、18项扩展和个性化服务；完成基础、信息安全、系统运维工作≥7项；系统运行稳定率≥95%；数字服务平台稳定运行、统一申办受理平台事项入驻交付质量；保障信息化终端设施全年运行稳定，保障安全产品、终端设备、信息系统使用安全，保障信息系统平稳运行，提升信息系统服务效率，进一步提升政务云应用系统的安全保障水平，确保北京市政务服务管理局业务系统稳定运行；运行维护保障时间＝12月；按计划开展平台试运行、完成运行服务保障时间；打造一站式网上统一申办受理平台，加强政务服务数据资源应用，为北京市数字政府建设提供强有力支撑，提升政务服务整体水平及社会影响力</w:t>
            </w:r>
            <w:r>
              <w:rPr>
                <w:rFonts w:hint="eastAsia" w:ascii="宋体" w:hAnsi="宋体" w:cs="宋体"/>
                <w:color w:val="000000"/>
                <w:kern w:val="0"/>
                <w:sz w:val="20"/>
                <w:szCs w:val="20"/>
                <w:lang w:eastAsia="zh-CN" w:bidi="ar"/>
              </w:rPr>
              <w:t>。</w:t>
            </w:r>
          </w:p>
        </w:tc>
      </w:tr>
      <w:tr w14:paraId="09528428">
        <w:tblPrEx>
          <w:tblCellMar>
            <w:top w:w="0" w:type="dxa"/>
            <w:left w:w="28" w:type="dxa"/>
            <w:bottom w:w="0" w:type="dxa"/>
            <w:right w:w="28" w:type="dxa"/>
          </w:tblCellMar>
        </w:tblPrEx>
        <w:trPr>
          <w:trHeight w:val="156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C20D2">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76B36C41">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val="en-US" w:eastAsia="zh-CN" w:bidi="ar"/>
              </w:rPr>
              <w:t>外埠</w:t>
            </w:r>
            <w:r>
              <w:rPr>
                <w:rFonts w:hint="eastAsia" w:ascii="宋体" w:hAnsi="宋体" w:cs="宋体"/>
                <w:color w:val="000000"/>
                <w:kern w:val="0"/>
                <w:sz w:val="20"/>
                <w:szCs w:val="20"/>
                <w:lang w:bidi="ar"/>
              </w:rPr>
              <w:t>驻京机构管理工作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21D12">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开展驻京机构信息管理系统信息服务及服务中央单位和驻京部队工作满意度调查服务、召开驻京部队联系人座谈会、服务央企工作座谈会、中央单位联系人座谈会、服务中央单位工作座谈会≥6项；每次座谈会参会单位实到率≥90%；驻京机构信息管理系统信息服务系统信息采用率70%以上、成果报告验收合格率100%；工作任务整体完成时间≤12月；总结经验做法，挖掘以往年度存在的问题，促进提升服务水平及社会影响力，促进更多单位深入了解北京、融入首都发展建设大局，争取更多优质资源落地北京市。</w:t>
            </w:r>
          </w:p>
        </w:tc>
      </w:tr>
      <w:tr w14:paraId="798C5546">
        <w:tblPrEx>
          <w:tblCellMar>
            <w:top w:w="0" w:type="dxa"/>
            <w:left w:w="28" w:type="dxa"/>
            <w:bottom w:w="0" w:type="dxa"/>
            <w:right w:w="28" w:type="dxa"/>
          </w:tblCellMar>
        </w:tblPrEx>
        <w:trPr>
          <w:trHeight w:val="130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325DE">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60BD11FC">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行政审批改革协调工作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32FAC">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2023年北京市“放管服”改革调研与理论研究、“千人千题”竞赛考试工作＝2项；完成北京市“放管服”改革调研与理论研究报告撰写及“千人千题”竞赛考试时间≤11月；“放管服”改革调研与理论研究报告真实可靠，能够为政策决策提供参考，“千人千题”竞赛命题与优化营商环境相关内容匹配；为“放管服”改革提供理论支撑与决策依据，推动政府职能转变，促进审批人员和窗口工作人员政策掌握及业务办理水平提升。</w:t>
            </w:r>
          </w:p>
        </w:tc>
      </w:tr>
      <w:tr w14:paraId="1C162B2F">
        <w:tblPrEx>
          <w:tblCellMar>
            <w:top w:w="0" w:type="dxa"/>
            <w:left w:w="28" w:type="dxa"/>
            <w:bottom w:w="0" w:type="dxa"/>
            <w:right w:w="28" w:type="dxa"/>
          </w:tblCellMar>
        </w:tblPrEx>
        <w:trPr>
          <w:trHeight w:val="1040" w:hRule="atLeast"/>
          <w:jc w:val="center"/>
        </w:trPr>
        <w:tc>
          <w:tcPr>
            <w:tcW w:w="3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CD9CB">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w:t>
            </w:r>
          </w:p>
        </w:tc>
        <w:tc>
          <w:tcPr>
            <w:tcW w:w="518" w:type="pct"/>
            <w:tcBorders>
              <w:top w:val="single" w:color="000000" w:sz="4" w:space="0"/>
              <w:left w:val="single" w:color="000000" w:sz="4" w:space="0"/>
              <w:bottom w:val="single" w:color="000000" w:sz="4" w:space="0"/>
              <w:right w:val="single" w:color="000000" w:sz="4" w:space="0"/>
            </w:tcBorders>
            <w:shd w:val="clear" w:color="FFFFFF" w:fill="FFFFFF"/>
            <w:vAlign w:val="center"/>
          </w:tcPr>
          <w:p w14:paraId="044B7129">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行政审批制度改革工作</w:t>
            </w:r>
          </w:p>
        </w:tc>
        <w:tc>
          <w:tcPr>
            <w:tcW w:w="41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47E4B">
            <w:pPr>
              <w:keepNext w:val="0"/>
              <w:keepLines w:val="0"/>
              <w:widowControl/>
              <w:suppressLineNumbers w:val="0"/>
              <w:spacing w:before="0" w:beforeAutospacing="0" w:after="0" w:afterAutospacing="0"/>
              <w:ind w:left="0" w:right="0" w:firstLine="400"/>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评估行政许可主项、子项、</w:t>
            </w:r>
            <w:r>
              <w:rPr>
                <w:rFonts w:hint="eastAsia" w:ascii="宋体" w:hAnsi="宋体" w:cs="宋体"/>
                <w:color w:val="000000"/>
                <w:kern w:val="0"/>
                <w:sz w:val="20"/>
                <w:szCs w:val="20"/>
                <w:lang w:eastAsia="zh-CN" w:bidi="ar"/>
              </w:rPr>
              <w:t>办理</w:t>
            </w:r>
            <w:r>
              <w:rPr>
                <w:rFonts w:hint="eastAsia" w:ascii="宋体" w:hAnsi="宋体" w:cs="宋体"/>
                <w:color w:val="000000"/>
                <w:kern w:val="0"/>
                <w:sz w:val="20"/>
                <w:szCs w:val="20"/>
                <w:lang w:bidi="ar"/>
              </w:rPr>
              <w:t>事项实施规范数量≥668项；项目开展符合《国务院办公厅关于全面实行行政许可事项清单管理的通知》（国办发〔2022〕2号）文件规定，形成的2期报告印刷质量好、排版规范；2023年6月及12月分别形成监测报告及各单位问题清单＝100%；明晰行政许可权力边界、规范行政许可行为，推动北京市全域依法许可、合规履权。</w:t>
            </w:r>
          </w:p>
        </w:tc>
      </w:tr>
    </w:tbl>
    <w:p w14:paraId="5D713AB2">
      <w:pPr>
        <w:adjustRightInd w:val="0"/>
        <w:snapToGrid w:val="0"/>
        <w:ind w:firstLine="400" w:firstLineChars="200"/>
        <w:rPr>
          <w:rFonts w:ascii="仿宋_GB2312" w:eastAsia="仿宋_GB2312"/>
          <w:sz w:val="20"/>
          <w:szCs w:val="20"/>
        </w:rPr>
      </w:pPr>
    </w:p>
    <w:p w14:paraId="752282BF">
      <w:pPr>
        <w:bidi w:val="0"/>
      </w:pPr>
    </w:p>
    <w:p w14:paraId="3498DE93">
      <w:pPr>
        <w:adjustRightInd w:val="0"/>
        <w:snapToGrid w:val="0"/>
        <w:spacing w:line="560" w:lineRule="exact"/>
        <w:ind w:firstLine="640" w:firstLineChars="200"/>
        <w:outlineLvl w:val="2"/>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.绩效目标设置合理性分析</w:t>
      </w:r>
    </w:p>
    <w:p w14:paraId="44569EB7">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市政务服务局2</w:t>
      </w:r>
      <w:r>
        <w:rPr>
          <w:rFonts w:ascii="仿宋_GB2312" w:eastAsia="仿宋_GB2312"/>
          <w:sz w:val="32"/>
          <w:szCs w:val="32"/>
        </w:rPr>
        <w:t>02</w:t>
      </w:r>
      <w:r>
        <w:rPr>
          <w:rFonts w:hint="eastAsia" w:ascii="仿宋_GB2312" w:eastAsia="仿宋_GB2312"/>
          <w:sz w:val="32"/>
          <w:szCs w:val="32"/>
        </w:rPr>
        <w:t>3年度设置的部门整体绩效目标与部门各内设机构及所属事业单位的职责任务相匹配，绩效目标及指标设置合理。具体表现为：</w:t>
      </w:r>
    </w:p>
    <w:p w14:paraId="2DF7D681">
      <w:pPr>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职能职责目标明确，“部门（单位）绩效目标”所概括的部门年度总体绩效目标中提到的“放管服”改革工作、政务服务大厅服务保障及政务服务体系规划建设等政务服务管理、政府信息公开和政务公开、公共资源交易场所服务管理工作、接诉即办及数字化转型、外联工作、政务中心信息化运维、政务服务信息化系统建设及运维等均为市政务服务局的主要职能职责。职能职责目标涵盖完整全面，“工作活动”是对总体目标的分解和细化，填报的内容均按照部门职能、年度重点任务和年度重点项目概括整合、分条填写。目标可量化体现充分，“绩效指标”均包括年度产出目标以及相应产出所带来的效果目标，能够对分解细化绩效指标进行具体描述，同时也与重点项目相对应。</w:t>
      </w:r>
    </w:p>
    <w:p w14:paraId="07DABFBC">
      <w:pPr>
        <w:adjustRightInd w:val="0"/>
        <w:snapToGrid w:val="0"/>
        <w:spacing w:line="560" w:lineRule="exact"/>
        <w:ind w:firstLine="640" w:firstLineChars="200"/>
        <w:outlineLvl w:val="0"/>
        <w:rPr>
          <w:rFonts w:ascii="黑体" w:hAnsi="黑体" w:eastAsia="黑体" w:cs="宋体"/>
          <w:kern w:val="0"/>
          <w:sz w:val="32"/>
          <w:szCs w:val="32"/>
        </w:rPr>
      </w:pPr>
      <w:bookmarkStart w:id="7" w:name="_Toc20970"/>
      <w:bookmarkStart w:id="8" w:name="_Toc10017"/>
      <w:r>
        <w:rPr>
          <w:rFonts w:hint="eastAsia" w:ascii="黑体" w:hAnsi="黑体" w:eastAsia="黑体" w:cs="宋体"/>
          <w:kern w:val="0"/>
          <w:sz w:val="32"/>
          <w:szCs w:val="32"/>
        </w:rPr>
        <w:t>二</w:t>
      </w:r>
      <w:r>
        <w:rPr>
          <w:rFonts w:ascii="黑体" w:hAnsi="黑体" w:eastAsia="黑体" w:cs="宋体"/>
          <w:kern w:val="0"/>
          <w:sz w:val="32"/>
          <w:szCs w:val="32"/>
        </w:rPr>
        <w:t>、</w:t>
      </w:r>
      <w:r>
        <w:rPr>
          <w:rFonts w:hint="eastAsia" w:ascii="黑体" w:hAnsi="黑体" w:eastAsia="黑体" w:cs="宋体"/>
          <w:kern w:val="0"/>
          <w:sz w:val="32"/>
          <w:szCs w:val="32"/>
        </w:rPr>
        <w:t>当年</w:t>
      </w:r>
      <w:r>
        <w:rPr>
          <w:rFonts w:ascii="黑体" w:hAnsi="黑体" w:eastAsia="黑体" w:cs="宋体"/>
          <w:kern w:val="0"/>
          <w:sz w:val="32"/>
          <w:szCs w:val="32"/>
        </w:rPr>
        <w:t>预算执行情况</w:t>
      </w:r>
      <w:bookmarkEnd w:id="7"/>
      <w:bookmarkEnd w:id="8"/>
    </w:p>
    <w:p w14:paraId="50ADE160">
      <w:pPr>
        <w:adjustRightInd w:val="0"/>
        <w:snapToGrid w:val="0"/>
        <w:spacing w:line="560" w:lineRule="exact"/>
        <w:ind w:firstLine="640" w:firstLineChars="200"/>
        <w:rPr>
          <w:rFonts w:ascii="仿宋_GB2312" w:eastAsia="仿宋_GB2312"/>
          <w:bCs/>
          <w:sz w:val="32"/>
          <w:szCs w:val="32"/>
        </w:rPr>
      </w:pPr>
      <w:r>
        <w:rPr>
          <w:rFonts w:hint="eastAsia" w:ascii="仿宋_GB2312" w:eastAsia="仿宋_GB2312"/>
          <w:sz w:val="32"/>
          <w:szCs w:val="32"/>
        </w:rPr>
        <w:t>根据《北京市财政局关于批复北京市政务服务管理局2023年预算的函》（京财党政群指〔2023〕00</w:t>
      </w:r>
      <w:r>
        <w:rPr>
          <w:rFonts w:ascii="仿宋_GB2312" w:eastAsia="仿宋_GB2312"/>
          <w:sz w:val="32"/>
          <w:szCs w:val="32"/>
        </w:rPr>
        <w:t>54</w:t>
      </w:r>
      <w:r>
        <w:rPr>
          <w:rFonts w:hint="eastAsia" w:ascii="仿宋_GB2312" w:eastAsia="仿宋_GB2312"/>
          <w:sz w:val="32"/>
          <w:szCs w:val="32"/>
        </w:rPr>
        <w:t>号）文件，2023年度市财政局年初批复市政务服务局预算</w:t>
      </w:r>
      <w:r>
        <w:rPr>
          <w:rFonts w:hint="eastAsia" w:ascii="仿宋_GB2312" w:eastAsia="仿宋_GB2312" w:cs="仿宋_GB2312"/>
          <w:color w:val="000000"/>
          <w:sz w:val="32"/>
          <w:szCs w:val="32"/>
        </w:rPr>
        <w:t>41,087.81</w:t>
      </w:r>
      <w:r>
        <w:rPr>
          <w:rFonts w:hint="eastAsia" w:ascii="仿宋_GB2312" w:eastAsia="仿宋_GB2312"/>
          <w:sz w:val="32"/>
          <w:szCs w:val="32"/>
        </w:rPr>
        <w:t>万元，其中本年财政拨款收入</w:t>
      </w:r>
      <w:r>
        <w:rPr>
          <w:rFonts w:hint="eastAsia" w:ascii="仿宋_GB2312" w:eastAsia="仿宋_GB2312"/>
          <w:sz w:val="32"/>
          <w:szCs w:val="32"/>
          <w:lang w:bidi="ar"/>
        </w:rPr>
        <w:t>40,727.37</w:t>
      </w:r>
      <w:r>
        <w:rPr>
          <w:rFonts w:hint="eastAsia" w:ascii="仿宋_GB2312" w:eastAsia="仿宋_GB2312"/>
          <w:sz w:val="32"/>
          <w:szCs w:val="32"/>
        </w:rPr>
        <w:t>万元，包括基本经费22,168.77万元，计划主要用于市政务服务局行政运行</w:t>
      </w:r>
      <w:r>
        <w:rPr>
          <w:rFonts w:hint="eastAsia" w:ascii="仿宋_GB2312" w:eastAsia="仿宋_GB2312"/>
          <w:bCs/>
          <w:sz w:val="32"/>
          <w:szCs w:val="32"/>
        </w:rPr>
        <w:t>、离退休经费、医疗保险经费等方面支出，项目经费18,558.60万元，计划主要用于支持20</w:t>
      </w:r>
      <w:r>
        <w:rPr>
          <w:rFonts w:ascii="仿宋_GB2312" w:eastAsia="仿宋_GB2312"/>
          <w:bCs/>
          <w:sz w:val="32"/>
          <w:szCs w:val="32"/>
        </w:rPr>
        <w:t>2</w:t>
      </w:r>
      <w:r>
        <w:rPr>
          <w:rFonts w:hint="eastAsia" w:ascii="仿宋_GB2312" w:eastAsia="仿宋_GB2312"/>
          <w:bCs/>
          <w:sz w:val="32"/>
          <w:szCs w:val="32"/>
        </w:rPr>
        <w:t>3年年初批复的数字服务平台升级改造、数字服务平台运营服务、北京市政府国际版门户网站运营服务等82个项目；继续使用202</w:t>
      </w:r>
      <w:r>
        <w:rPr>
          <w:rFonts w:ascii="仿宋_GB2312" w:eastAsia="仿宋_GB2312"/>
          <w:bCs/>
          <w:sz w:val="32"/>
          <w:szCs w:val="32"/>
        </w:rPr>
        <w:t>2</w:t>
      </w:r>
      <w:r>
        <w:rPr>
          <w:rFonts w:hint="eastAsia" w:ascii="仿宋_GB2312" w:eastAsia="仿宋_GB2312"/>
          <w:bCs/>
          <w:sz w:val="32"/>
          <w:szCs w:val="32"/>
        </w:rPr>
        <w:t>年度财政性结转资金</w:t>
      </w:r>
      <w:r>
        <w:rPr>
          <w:rFonts w:hint="eastAsia" w:ascii="仿宋_GB2312" w:eastAsia="仿宋_GB2312" w:cs="仿宋_GB2312"/>
          <w:color w:val="000000"/>
          <w:sz w:val="32"/>
          <w:szCs w:val="32"/>
        </w:rPr>
        <w:t>360.44</w:t>
      </w:r>
      <w:r>
        <w:rPr>
          <w:rFonts w:hint="eastAsia" w:ascii="仿宋_GB2312" w:eastAsia="仿宋_GB2312"/>
          <w:bCs/>
          <w:sz w:val="32"/>
          <w:szCs w:val="32"/>
        </w:rPr>
        <w:t>万元，包括基本经费50.06万元、项目经费310.38万元（用于支持5个上年结转项目）</w:t>
      </w:r>
      <w:r>
        <w:rPr>
          <w:rStyle w:val="21"/>
          <w:rFonts w:hint="eastAsia" w:ascii="仿宋_GB2312" w:eastAsia="仿宋_GB2312"/>
          <w:bCs/>
          <w:sz w:val="32"/>
          <w:szCs w:val="32"/>
        </w:rPr>
        <w:footnoteReference w:id="1"/>
      </w:r>
      <w:r>
        <w:rPr>
          <w:rFonts w:hint="eastAsia" w:ascii="仿宋_GB2312" w:eastAsia="仿宋_GB2312"/>
          <w:bCs/>
          <w:sz w:val="32"/>
          <w:szCs w:val="32"/>
        </w:rPr>
        <w:t>。</w:t>
      </w:r>
    </w:p>
    <w:p w14:paraId="4ECEDCC4">
      <w:pPr>
        <w:adjustRightInd w:val="0"/>
        <w:snapToGrid w:val="0"/>
        <w:spacing w:line="560" w:lineRule="exact"/>
        <w:ind w:firstLine="640" w:firstLineChars="200"/>
        <w:rPr>
          <w:rFonts w:hint="eastAsia" w:ascii="仿宋_GB2312" w:hAnsi="宋体" w:eastAsia="仿宋_GB2312" w:cs="宋体"/>
          <w:color w:val="000000"/>
          <w:kern w:val="0"/>
          <w:sz w:val="32"/>
          <w:szCs w:val="32"/>
        </w:rPr>
      </w:pPr>
      <w:r>
        <w:rPr>
          <w:rFonts w:ascii="仿宋_GB2312" w:eastAsia="仿宋_GB2312"/>
          <w:bCs/>
          <w:sz w:val="32"/>
          <w:szCs w:val="32"/>
        </w:rPr>
        <w:t>202</w:t>
      </w:r>
      <w:r>
        <w:rPr>
          <w:rFonts w:hint="eastAsia" w:ascii="仿宋_GB2312" w:eastAsia="仿宋_GB2312"/>
          <w:bCs/>
          <w:sz w:val="32"/>
          <w:szCs w:val="32"/>
        </w:rPr>
        <w:t>3年中，根据市财政</w:t>
      </w:r>
      <w:r>
        <w:rPr>
          <w:rFonts w:hint="eastAsia" w:ascii="仿宋_GB2312" w:hAnsi="黑体" w:eastAsia="仿宋_GB2312" w:cs="宋体"/>
          <w:color w:val="000000"/>
          <w:kern w:val="0"/>
          <w:sz w:val="32"/>
          <w:szCs w:val="32"/>
        </w:rPr>
        <w:t>局统一部署</w:t>
      </w:r>
      <w:r>
        <w:rPr>
          <w:rFonts w:hint="eastAsia" w:ascii="仿宋_GB2312" w:eastAsia="仿宋_GB2312"/>
          <w:sz w:val="32"/>
          <w:szCs w:val="32"/>
        </w:rPr>
        <w:t>以及市政务服务局的实际工作开展情况，经市政务服务局申请，市财政局对市政务服务局20</w:t>
      </w:r>
      <w:r>
        <w:rPr>
          <w:rFonts w:ascii="仿宋_GB2312" w:eastAsia="仿宋_GB2312"/>
          <w:sz w:val="32"/>
          <w:szCs w:val="32"/>
        </w:rPr>
        <w:t>2</w:t>
      </w:r>
      <w:r>
        <w:rPr>
          <w:rFonts w:hint="eastAsia" w:ascii="仿宋_GB2312" w:eastAsia="仿宋_GB2312"/>
          <w:sz w:val="32"/>
          <w:szCs w:val="32"/>
        </w:rPr>
        <w:t>3年财政拨款预算情况进行了相应调整。截至20</w:t>
      </w:r>
      <w:r>
        <w:rPr>
          <w:rFonts w:ascii="仿宋_GB2312" w:eastAsia="仿宋_GB2312"/>
          <w:sz w:val="32"/>
          <w:szCs w:val="32"/>
        </w:rPr>
        <w:t>2</w:t>
      </w:r>
      <w:r>
        <w:rPr>
          <w:rFonts w:hint="eastAsia" w:ascii="仿宋_GB2312" w:eastAsia="仿宋_GB2312"/>
          <w:sz w:val="32"/>
          <w:szCs w:val="32"/>
        </w:rPr>
        <w:t>3年12月31日，市政务服务局</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预算53,544.56万元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经费</w:t>
      </w:r>
      <w:r>
        <w:rPr>
          <w:rFonts w:ascii="仿宋_GB2312" w:hAnsi="宋体" w:eastAsia="仿宋_GB2312" w:cs="宋体"/>
          <w:color w:val="000000"/>
          <w:kern w:val="0"/>
          <w:sz w:val="32"/>
          <w:szCs w:val="32"/>
        </w:rPr>
        <w:t>预算</w:t>
      </w:r>
      <w:r>
        <w:rPr>
          <w:rFonts w:hint="eastAsia" w:ascii="仿宋_GB2312" w:hAnsi="宋体" w:eastAsia="仿宋_GB2312" w:cs="宋体"/>
          <w:color w:val="000000"/>
          <w:kern w:val="0"/>
          <w:sz w:val="32"/>
          <w:szCs w:val="32"/>
        </w:rPr>
        <w:t>28,169.01</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项目经费预算25,375.55</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。2023年</w:t>
      </w:r>
      <w:r>
        <w:rPr>
          <w:rFonts w:hint="eastAsia" w:ascii="仿宋_GB2312" w:hAnsi="宋体" w:eastAsia="仿宋_GB2312" w:cs="宋体"/>
          <w:color w:val="000000"/>
          <w:kern w:val="0"/>
          <w:sz w:val="32"/>
          <w:szCs w:val="32"/>
          <w:lang w:val="en-US" w:eastAsia="zh-CN"/>
        </w:rPr>
        <w:t>完成</w:t>
      </w:r>
      <w:r>
        <w:rPr>
          <w:rFonts w:hint="eastAsia" w:ascii="仿宋_GB2312" w:hAnsi="宋体" w:eastAsia="仿宋_GB2312" w:cs="宋体"/>
          <w:color w:val="000000"/>
          <w:kern w:val="0"/>
          <w:sz w:val="32"/>
          <w:szCs w:val="32"/>
        </w:rPr>
        <w:t>支出51,797.93</w:t>
      </w:r>
      <w:r>
        <w:rPr>
          <w:rFonts w:ascii="仿宋_GB2312" w:hAnsi="宋体" w:eastAsia="仿宋_GB2312" w:cs="宋体"/>
          <w:color w:val="000000"/>
          <w:kern w:val="0"/>
          <w:sz w:val="32"/>
          <w:szCs w:val="32"/>
        </w:rPr>
        <w:t>万元，其中，基本支出</w:t>
      </w:r>
      <w:r>
        <w:rPr>
          <w:rFonts w:hint="eastAsia" w:ascii="仿宋_GB2312" w:hAnsi="宋体" w:eastAsia="仿宋_GB2312" w:cs="宋体"/>
          <w:color w:val="000000"/>
          <w:kern w:val="0"/>
          <w:sz w:val="32"/>
          <w:szCs w:val="32"/>
        </w:rPr>
        <w:t>27,712.83</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支出24,085.10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、主要用于本年度8</w:t>
      </w: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个项目及</w:t>
      </w:r>
      <w:r>
        <w:rPr>
          <w:rFonts w:hint="default" w:ascii="仿宋_GB2312" w:hAnsi="宋体" w:eastAsia="仿宋_GB2312" w:cs="宋体"/>
          <w:color w:val="000000"/>
          <w:kern w:val="0"/>
          <w:sz w:val="32"/>
          <w:szCs w:val="32"/>
          <w:lang w:val="en-US"/>
        </w:rPr>
        <w:t>4</w:t>
      </w:r>
      <w:r>
        <w:rPr>
          <w:rFonts w:ascii="仿宋_GB2312" w:hAnsi="宋体" w:eastAsia="仿宋_GB2312" w:cs="宋体"/>
          <w:color w:val="000000"/>
          <w:kern w:val="0"/>
          <w:sz w:val="32"/>
          <w:szCs w:val="32"/>
        </w:rPr>
        <w:t>个上年结转项目</w:t>
      </w:r>
      <w:r>
        <w:rPr>
          <w:rFonts w:hint="eastAsia" w:ascii="仿宋_GB2312" w:hAnsi="宋体" w:eastAsia="仿宋_GB2312" w:cs="宋体"/>
          <w:color w:val="000000"/>
          <w:kern w:val="0"/>
          <w:sz w:val="32"/>
          <w:szCs w:val="32"/>
        </w:rPr>
        <w:t>开展实施</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rPr>
        <w:t>96.74%（见表</w:t>
      </w: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）。资金支出主要用于商品和服务支出、工资福利支出等（见图</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w:t>
      </w:r>
    </w:p>
    <w:p w14:paraId="0C45178D">
      <w:pPr>
        <w:adjustRightInd w:val="0"/>
        <w:snapToGrid w:val="0"/>
        <w:spacing w:line="560" w:lineRule="exact"/>
        <w:ind w:firstLine="560" w:firstLineChars="200"/>
        <w:jc w:val="center"/>
        <w:rPr>
          <w:rFonts w:ascii="黑体" w:hAnsi="黑体" w:eastAsia="黑体"/>
          <w:sz w:val="28"/>
          <w:szCs w:val="28"/>
        </w:rPr>
      </w:pPr>
      <w:r>
        <w:rPr>
          <w:rFonts w:hint="eastAsia" w:ascii="黑体" w:hAnsi="黑体" w:eastAsia="黑体"/>
          <w:sz w:val="28"/>
          <w:szCs w:val="28"/>
        </w:rPr>
        <w:t>表</w:t>
      </w:r>
      <w:r>
        <w:rPr>
          <w:rFonts w:ascii="黑体" w:hAnsi="黑体" w:eastAsia="黑体"/>
          <w:sz w:val="28"/>
          <w:szCs w:val="28"/>
        </w:rPr>
        <w:t>4</w:t>
      </w:r>
      <w:r>
        <w:rPr>
          <w:rFonts w:hint="eastAsia" w:ascii="黑体" w:hAnsi="黑体" w:eastAsia="黑体"/>
          <w:sz w:val="28"/>
          <w:szCs w:val="28"/>
        </w:rPr>
        <w:t>：2023年市政务服务局预算执行情况表</w:t>
      </w:r>
    </w:p>
    <w:p w14:paraId="6EA06D6A">
      <w:pPr>
        <w:adjustRightInd w:val="0"/>
        <w:snapToGrid w:val="0"/>
        <w:spacing w:line="360" w:lineRule="auto"/>
        <w:ind w:right="200" w:firstLine="400"/>
        <w:jc w:val="right"/>
        <w:rPr>
          <w:rFonts w:ascii="宋体" w:hAnsi="宋体"/>
          <w:sz w:val="20"/>
          <w:szCs w:val="20"/>
        </w:rPr>
      </w:pPr>
      <w:r>
        <w:rPr>
          <w:rFonts w:hint="eastAsia" w:ascii="宋体" w:hAnsi="宋体"/>
          <w:sz w:val="20"/>
          <w:szCs w:val="20"/>
        </w:rPr>
        <w:t>单位：万元</w:t>
      </w:r>
    </w:p>
    <w:tbl>
      <w:tblPr>
        <w:tblStyle w:val="15"/>
        <w:tblW w:w="4997" w:type="pct"/>
        <w:tblInd w:w="0" w:type="dxa"/>
        <w:tblLayout w:type="autofit"/>
        <w:tblCellMar>
          <w:top w:w="0" w:type="dxa"/>
          <w:left w:w="28" w:type="dxa"/>
          <w:bottom w:w="0" w:type="dxa"/>
          <w:right w:w="28" w:type="dxa"/>
        </w:tblCellMar>
      </w:tblPr>
      <w:tblGrid>
        <w:gridCol w:w="549"/>
        <w:gridCol w:w="999"/>
        <w:gridCol w:w="1143"/>
        <w:gridCol w:w="1551"/>
        <w:gridCol w:w="1551"/>
        <w:gridCol w:w="1551"/>
        <w:gridCol w:w="1551"/>
      </w:tblGrid>
      <w:tr w14:paraId="765E6045">
        <w:tblPrEx>
          <w:tblCellMar>
            <w:top w:w="0" w:type="dxa"/>
            <w:left w:w="28" w:type="dxa"/>
            <w:bottom w:w="0" w:type="dxa"/>
            <w:right w:w="28" w:type="dxa"/>
          </w:tblCellMar>
        </w:tblPrEx>
        <w:trPr>
          <w:trHeight w:val="280" w:hRule="atLeast"/>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5990CB">
            <w:pPr>
              <w:keepNext w:val="0"/>
              <w:keepLines w:val="0"/>
              <w:widowControl/>
              <w:suppressLineNumbers w:val="0"/>
              <w:spacing w:before="0" w:beforeAutospacing="0" w:after="0" w:afterAutospacing="0"/>
              <w:ind w:left="0" w:right="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序号</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5FABD9">
            <w:pPr>
              <w:keepNext w:val="0"/>
              <w:keepLines w:val="0"/>
              <w:widowControl/>
              <w:suppressLineNumbers w:val="0"/>
              <w:spacing w:before="0" w:beforeAutospacing="0" w:after="0" w:afterAutospacing="0"/>
              <w:ind w:left="0" w:right="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单位名称</w:t>
            </w:r>
          </w:p>
        </w:tc>
        <w:tc>
          <w:tcPr>
            <w:tcW w:w="6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C1D3F0">
            <w:pPr>
              <w:keepNext w:val="0"/>
              <w:keepLines w:val="0"/>
              <w:widowControl/>
              <w:suppressLineNumbers w:val="0"/>
              <w:spacing w:before="0" w:beforeAutospacing="0" w:after="0" w:afterAutospacing="0"/>
              <w:ind w:left="0" w:right="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资金性质</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E0402">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年初预算数</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2B3C4">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全年预算数</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6D399">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全年执行数</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762FB">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预算执行率</w:t>
            </w:r>
          </w:p>
        </w:tc>
      </w:tr>
      <w:tr w14:paraId="7D7B425D">
        <w:tblPrEx>
          <w:tblCellMar>
            <w:top w:w="0" w:type="dxa"/>
            <w:left w:w="28" w:type="dxa"/>
            <w:bottom w:w="0" w:type="dxa"/>
            <w:right w:w="28" w:type="dxa"/>
          </w:tblCellMar>
        </w:tblPrEx>
        <w:trPr>
          <w:trHeight w:val="28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A8C960">
            <w:pPr>
              <w:keepNext w:val="0"/>
              <w:keepLines w:val="0"/>
              <w:suppressLineNumbers w:val="0"/>
              <w:spacing w:before="0" w:beforeAutospacing="0" w:after="0" w:afterAutospacing="0"/>
              <w:ind w:left="0" w:right="0" w:firstLine="402"/>
              <w:jc w:val="center"/>
              <w:rPr>
                <w:rFonts w:ascii="宋体" w:hAnsi="宋体" w:cs="宋体"/>
                <w:b/>
                <w:bCs/>
                <w:color w:val="000000"/>
                <w:sz w:val="20"/>
                <w:szCs w:val="20"/>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F8FE8">
            <w:pPr>
              <w:keepNext w:val="0"/>
              <w:keepLines w:val="0"/>
              <w:suppressLineNumbers w:val="0"/>
              <w:spacing w:before="0" w:beforeAutospacing="0" w:after="0" w:afterAutospacing="0"/>
              <w:ind w:left="0" w:right="0" w:firstLine="402"/>
              <w:jc w:val="center"/>
              <w:rPr>
                <w:rFonts w:ascii="宋体" w:hAnsi="宋体" w:cs="宋体"/>
                <w:b/>
                <w:bCs/>
                <w:color w:val="000000"/>
                <w:sz w:val="20"/>
                <w:szCs w:val="20"/>
              </w:rPr>
            </w:pPr>
          </w:p>
        </w:tc>
        <w:tc>
          <w:tcPr>
            <w:tcW w:w="6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19D7DF">
            <w:pPr>
              <w:keepNext w:val="0"/>
              <w:keepLines w:val="0"/>
              <w:suppressLineNumbers w:val="0"/>
              <w:spacing w:before="0" w:beforeAutospacing="0" w:after="0" w:afterAutospacing="0"/>
              <w:ind w:left="0" w:right="0" w:firstLine="402"/>
              <w:jc w:val="center"/>
              <w:rPr>
                <w:rFonts w:ascii="宋体" w:hAnsi="宋体" w:cs="宋体"/>
                <w:b/>
                <w:bCs/>
                <w:color w:val="000000"/>
                <w:sz w:val="20"/>
                <w:szCs w:val="20"/>
              </w:rPr>
            </w:pP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1255F">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1</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38B46">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2B7DF">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1106C">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4=3/2</w:t>
            </w:r>
          </w:p>
        </w:tc>
      </w:tr>
      <w:tr w14:paraId="4281B47F">
        <w:tblPrEx>
          <w:tblCellMar>
            <w:top w:w="0" w:type="dxa"/>
            <w:left w:w="28" w:type="dxa"/>
            <w:bottom w:w="0" w:type="dxa"/>
            <w:right w:w="28" w:type="dxa"/>
          </w:tblCellMar>
        </w:tblPrEx>
        <w:trPr>
          <w:trHeight w:val="280" w:hRule="atLeast"/>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CA5974">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1C3D91">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市政务</w:t>
            </w:r>
          </w:p>
          <w:p w14:paraId="6C10AB7C">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服务局</w:t>
            </w:r>
          </w:p>
          <w:p w14:paraId="2AFC2637">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（本级）</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3C937">
            <w:pPr>
              <w:keepNext w:val="0"/>
              <w:keepLines w:val="0"/>
              <w:widowControl/>
              <w:suppressLineNumbers w:val="0"/>
              <w:spacing w:before="0" w:beforeAutospacing="0" w:after="0" w:afterAutospacing="0"/>
              <w:ind w:left="0" w:right="0" w:firstLine="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基本经费</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B2A28">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7,790.80</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B3AEC">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9,270.42</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133C2">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9,021.23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82704">
            <w:pPr>
              <w:keepNext w:val="0"/>
              <w:keepLines w:val="0"/>
              <w:widowControl/>
              <w:suppressLineNumbers w:val="0"/>
              <w:spacing w:before="0" w:beforeAutospacing="0" w:after="0" w:afterAutospacing="0"/>
              <w:ind w:left="0" w:right="0" w:firstLine="40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97.31%</w:t>
            </w:r>
          </w:p>
        </w:tc>
      </w:tr>
      <w:tr w14:paraId="3C8A2EDF">
        <w:tblPrEx>
          <w:tblCellMar>
            <w:top w:w="0" w:type="dxa"/>
            <w:left w:w="28" w:type="dxa"/>
            <w:bottom w:w="0" w:type="dxa"/>
            <w:right w:w="28" w:type="dxa"/>
          </w:tblCellMar>
        </w:tblPrEx>
        <w:trPr>
          <w:trHeight w:val="28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3A64CD">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8A787">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58326">
            <w:pPr>
              <w:keepNext w:val="0"/>
              <w:keepLines w:val="0"/>
              <w:widowControl/>
              <w:suppressLineNumbers w:val="0"/>
              <w:spacing w:before="0" w:beforeAutospacing="0" w:after="0" w:afterAutospacing="0"/>
              <w:ind w:left="0" w:right="0" w:firstLine="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项目经费</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9F702">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10,433.94</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E14DB">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15,997.22</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C8416">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14,713.02</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9A2CF">
            <w:pPr>
              <w:keepNext w:val="0"/>
              <w:keepLines w:val="0"/>
              <w:widowControl/>
              <w:suppressLineNumbers w:val="0"/>
              <w:spacing w:before="0" w:beforeAutospacing="0" w:after="0" w:afterAutospacing="0"/>
              <w:ind w:left="0" w:right="0" w:firstLine="40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91.97%</w:t>
            </w:r>
          </w:p>
        </w:tc>
      </w:tr>
      <w:tr w14:paraId="3D2ECF64">
        <w:tblPrEx>
          <w:tblCellMar>
            <w:top w:w="0" w:type="dxa"/>
            <w:left w:w="28" w:type="dxa"/>
            <w:bottom w:w="0" w:type="dxa"/>
            <w:right w:w="28" w:type="dxa"/>
          </w:tblCellMar>
        </w:tblPrEx>
        <w:trPr>
          <w:trHeight w:val="28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243B5">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D6921">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E8CA9">
            <w:pPr>
              <w:keepNext w:val="0"/>
              <w:keepLines w:val="0"/>
              <w:widowControl/>
              <w:suppressLineNumbers w:val="0"/>
              <w:spacing w:before="0" w:beforeAutospacing="0" w:after="0" w:afterAutospacing="0"/>
              <w:ind w:left="0" w:right="0" w:firstLine="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小计</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5A458">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18,224.74</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8AF1E">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25,267.64</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9A2E4">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23,734.25</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03584">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93.93%</w:t>
            </w:r>
          </w:p>
        </w:tc>
      </w:tr>
      <w:tr w14:paraId="7984FF29">
        <w:tblPrEx>
          <w:tblCellMar>
            <w:top w:w="0" w:type="dxa"/>
            <w:left w:w="28" w:type="dxa"/>
            <w:bottom w:w="0" w:type="dxa"/>
            <w:right w:w="28" w:type="dxa"/>
          </w:tblCellMar>
        </w:tblPrEx>
        <w:trPr>
          <w:trHeight w:val="280" w:hRule="atLeast"/>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31C7CD">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A25785">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热线服务中心</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DDE63">
            <w:pPr>
              <w:keepNext w:val="0"/>
              <w:keepLines w:val="0"/>
              <w:widowControl/>
              <w:suppressLineNumbers w:val="0"/>
              <w:spacing w:before="0" w:beforeAutospacing="0" w:after="0" w:afterAutospacing="0"/>
              <w:ind w:left="0" w:right="0" w:firstLine="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基本经费</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7D5FB0">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13,902.94</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6B352">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18,386.57</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E5650">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18,229.33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255CB">
            <w:pPr>
              <w:keepNext w:val="0"/>
              <w:keepLines w:val="0"/>
              <w:widowControl/>
              <w:suppressLineNumbers w:val="0"/>
              <w:spacing w:before="0" w:beforeAutospacing="0" w:after="0" w:afterAutospacing="0"/>
              <w:ind w:left="0" w:right="0" w:firstLine="40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99.14%</w:t>
            </w:r>
          </w:p>
        </w:tc>
      </w:tr>
      <w:tr w14:paraId="42EFE6FA">
        <w:tblPrEx>
          <w:tblCellMar>
            <w:top w:w="0" w:type="dxa"/>
            <w:left w:w="28" w:type="dxa"/>
            <w:bottom w:w="0" w:type="dxa"/>
            <w:right w:w="28" w:type="dxa"/>
          </w:tblCellMar>
        </w:tblPrEx>
        <w:trPr>
          <w:trHeight w:val="28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40CF18">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9572C">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B800E">
            <w:pPr>
              <w:keepNext w:val="0"/>
              <w:keepLines w:val="0"/>
              <w:widowControl/>
              <w:suppressLineNumbers w:val="0"/>
              <w:spacing w:before="0" w:beforeAutospacing="0" w:after="0" w:afterAutospacing="0"/>
              <w:ind w:left="0" w:right="0" w:firstLine="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项目经费</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75C7C">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6,725.01</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9CE56">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7,261.53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4BAB0">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7,255.38</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C8D04">
            <w:pPr>
              <w:keepNext w:val="0"/>
              <w:keepLines w:val="0"/>
              <w:widowControl/>
              <w:suppressLineNumbers w:val="0"/>
              <w:spacing w:before="0" w:beforeAutospacing="0" w:after="0" w:afterAutospacing="0"/>
              <w:ind w:left="0" w:right="0" w:firstLine="40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99.92%</w:t>
            </w:r>
          </w:p>
        </w:tc>
      </w:tr>
      <w:tr w14:paraId="29BF2432">
        <w:tblPrEx>
          <w:tblCellMar>
            <w:top w:w="0" w:type="dxa"/>
            <w:left w:w="28" w:type="dxa"/>
            <w:bottom w:w="0" w:type="dxa"/>
            <w:right w:w="28" w:type="dxa"/>
          </w:tblCellMar>
        </w:tblPrEx>
        <w:trPr>
          <w:trHeight w:val="28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850000">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0E5C7D">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F42FB">
            <w:pPr>
              <w:keepNext w:val="0"/>
              <w:keepLines w:val="0"/>
              <w:widowControl/>
              <w:suppressLineNumbers w:val="0"/>
              <w:spacing w:before="0" w:beforeAutospacing="0" w:after="0" w:afterAutospacing="0"/>
              <w:ind w:left="0" w:right="0" w:firstLine="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小计</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1E677">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20,627.95</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E9110">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25,648.10</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77F54">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25,484.71</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8CC29">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99.36%</w:t>
            </w:r>
          </w:p>
        </w:tc>
      </w:tr>
      <w:tr w14:paraId="52A350AA">
        <w:tblPrEx>
          <w:tblCellMar>
            <w:top w:w="0" w:type="dxa"/>
            <w:left w:w="28" w:type="dxa"/>
            <w:bottom w:w="0" w:type="dxa"/>
            <w:right w:w="28" w:type="dxa"/>
          </w:tblCellMar>
        </w:tblPrEx>
        <w:trPr>
          <w:trHeight w:val="280" w:hRule="atLeast"/>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0FAC15">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w:t>
            </w:r>
          </w:p>
        </w:tc>
        <w:tc>
          <w:tcPr>
            <w:tcW w:w="5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BA0BB9">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网厅中心</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83A4F">
            <w:pPr>
              <w:keepNext w:val="0"/>
              <w:keepLines w:val="0"/>
              <w:widowControl/>
              <w:suppressLineNumbers w:val="0"/>
              <w:spacing w:before="0" w:beforeAutospacing="0" w:after="0" w:afterAutospacing="0"/>
              <w:ind w:left="0" w:right="0" w:firstLine="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基本经费</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5225FC">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525.10</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7B55B">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512.02</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46E99">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462.27</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76468">
            <w:pPr>
              <w:keepNext w:val="0"/>
              <w:keepLines w:val="0"/>
              <w:widowControl/>
              <w:suppressLineNumbers w:val="0"/>
              <w:spacing w:before="0" w:beforeAutospacing="0" w:after="0" w:afterAutospacing="0"/>
              <w:ind w:left="0" w:right="0" w:firstLine="40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90.28%</w:t>
            </w:r>
          </w:p>
        </w:tc>
      </w:tr>
      <w:tr w14:paraId="5BCDCAC8">
        <w:tblPrEx>
          <w:tblCellMar>
            <w:top w:w="0" w:type="dxa"/>
            <w:left w:w="28" w:type="dxa"/>
            <w:bottom w:w="0" w:type="dxa"/>
            <w:right w:w="28" w:type="dxa"/>
          </w:tblCellMar>
        </w:tblPrEx>
        <w:trPr>
          <w:trHeight w:val="28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5A6C1F">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BB613A">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7AA1F">
            <w:pPr>
              <w:keepNext w:val="0"/>
              <w:keepLines w:val="0"/>
              <w:widowControl/>
              <w:suppressLineNumbers w:val="0"/>
              <w:spacing w:before="0" w:beforeAutospacing="0" w:after="0" w:afterAutospacing="0"/>
              <w:ind w:left="0" w:right="0" w:firstLine="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项目经费</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7F648">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1,710.03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BFD13">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2,116.80</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7877A">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2,116.70</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A124A">
            <w:pPr>
              <w:keepNext w:val="0"/>
              <w:keepLines w:val="0"/>
              <w:widowControl/>
              <w:suppressLineNumbers w:val="0"/>
              <w:spacing w:before="0" w:beforeAutospacing="0" w:after="0" w:afterAutospacing="0"/>
              <w:ind w:left="0" w:right="0" w:firstLine="40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r>
      <w:tr w14:paraId="2F0F2877">
        <w:tblPrEx>
          <w:tblCellMar>
            <w:top w:w="0" w:type="dxa"/>
            <w:left w:w="28" w:type="dxa"/>
            <w:bottom w:w="0" w:type="dxa"/>
            <w:right w:w="28" w:type="dxa"/>
          </w:tblCellMar>
        </w:tblPrEx>
        <w:trPr>
          <w:trHeight w:val="280" w:hRule="atLeast"/>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DDE678">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5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FF9257">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1E9A0">
            <w:pPr>
              <w:keepNext w:val="0"/>
              <w:keepLines w:val="0"/>
              <w:widowControl/>
              <w:suppressLineNumbers w:val="0"/>
              <w:spacing w:before="0" w:beforeAutospacing="0" w:after="0" w:afterAutospacing="0"/>
              <w:ind w:left="0" w:right="0" w:firstLine="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小计</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35C65">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2,235.13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40744">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2,628.82</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CF46F3">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2,578.97</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C1DA42">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98.10%</w:t>
            </w:r>
          </w:p>
        </w:tc>
      </w:tr>
      <w:tr w14:paraId="335B9CF2">
        <w:tblPrEx>
          <w:tblCellMar>
            <w:top w:w="0" w:type="dxa"/>
            <w:left w:w="28" w:type="dxa"/>
            <w:bottom w:w="0" w:type="dxa"/>
            <w:right w:w="28" w:type="dxa"/>
          </w:tblCellMar>
        </w:tblPrEx>
        <w:trPr>
          <w:trHeight w:val="280" w:hRule="atLeast"/>
        </w:trPr>
        <w:tc>
          <w:tcPr>
            <w:tcW w:w="87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92849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0"/>
                <w:szCs w:val="20"/>
                <w:lang w:eastAsia="zh-CN" w:bidi="ar"/>
              </w:rPr>
            </w:pPr>
            <w:r>
              <w:rPr>
                <w:rFonts w:hint="eastAsia" w:ascii="宋体" w:hAnsi="宋体" w:cs="宋体"/>
                <w:color w:val="000000"/>
                <w:kern w:val="0"/>
                <w:sz w:val="20"/>
                <w:szCs w:val="20"/>
                <w:lang w:bidi="ar"/>
              </w:rPr>
              <w:t>市政务服务局</w:t>
            </w:r>
          </w:p>
          <w:p w14:paraId="194A984F">
            <w:pPr>
              <w:keepNext w:val="0"/>
              <w:keepLines w:val="0"/>
              <w:widowControl/>
              <w:suppressLineNumbers w:val="0"/>
              <w:spacing w:before="0" w:beforeAutospacing="0" w:after="0" w:afterAutospacing="0"/>
              <w:ind w:left="0" w:right="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部门整体</w:t>
            </w: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8F4E6">
            <w:pPr>
              <w:keepNext w:val="0"/>
              <w:keepLines w:val="0"/>
              <w:widowControl/>
              <w:suppressLineNumbers w:val="0"/>
              <w:spacing w:before="0" w:beforeAutospacing="0" w:after="0" w:afterAutospacing="0"/>
              <w:ind w:left="0" w:right="0" w:firstLine="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基本经费</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B17A5">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22,218.83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4A4FB">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28,169.01</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9518E">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27,712.83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5E40C">
            <w:pPr>
              <w:keepNext w:val="0"/>
              <w:keepLines w:val="0"/>
              <w:widowControl/>
              <w:suppressLineNumbers w:val="0"/>
              <w:spacing w:before="0" w:beforeAutospacing="0" w:after="0" w:afterAutospacing="0"/>
              <w:ind w:left="0" w:right="0" w:firstLine="40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98.38%</w:t>
            </w:r>
          </w:p>
        </w:tc>
      </w:tr>
      <w:tr w14:paraId="54781ECC">
        <w:tblPrEx>
          <w:tblCellMar>
            <w:top w:w="0" w:type="dxa"/>
            <w:left w:w="28" w:type="dxa"/>
            <w:bottom w:w="0" w:type="dxa"/>
            <w:right w:w="28" w:type="dxa"/>
          </w:tblCellMar>
        </w:tblPrEx>
        <w:trPr>
          <w:trHeight w:val="280" w:hRule="atLeast"/>
        </w:trPr>
        <w:tc>
          <w:tcPr>
            <w:tcW w:w="87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797B4B">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CAF86">
            <w:pPr>
              <w:keepNext w:val="0"/>
              <w:keepLines w:val="0"/>
              <w:widowControl/>
              <w:suppressLineNumbers w:val="0"/>
              <w:spacing w:before="0" w:beforeAutospacing="0" w:after="0" w:afterAutospacing="0"/>
              <w:ind w:left="0" w:right="0" w:firstLine="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项目经费</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424EB">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18,868.98</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9FC76">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25,375.55</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2F89C">
            <w:pPr>
              <w:keepNext w:val="0"/>
              <w:keepLines w:val="0"/>
              <w:widowControl/>
              <w:suppressLineNumbers w:val="0"/>
              <w:spacing w:before="0" w:beforeAutospacing="0" w:after="0" w:afterAutospacing="0"/>
              <w:ind w:left="0" w:right="0" w:firstLine="400"/>
              <w:jc w:val="right"/>
              <w:textAlignment w:val="center"/>
              <w:rPr>
                <w:rFonts w:ascii="宋体" w:hAnsi="宋体" w:cs="宋体"/>
                <w:color w:val="000000"/>
                <w:sz w:val="20"/>
                <w:szCs w:val="20"/>
              </w:rPr>
            </w:pPr>
            <w:r>
              <w:rPr>
                <w:rFonts w:hint="eastAsia" w:ascii="宋体" w:hAnsi="宋体" w:cs="宋体"/>
                <w:color w:val="000000"/>
                <w:kern w:val="0"/>
                <w:sz w:val="20"/>
                <w:szCs w:val="20"/>
                <w:lang w:bidi="ar"/>
              </w:rPr>
              <w:t>24,085.10</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7A942">
            <w:pPr>
              <w:keepNext w:val="0"/>
              <w:keepLines w:val="0"/>
              <w:widowControl/>
              <w:suppressLineNumbers w:val="0"/>
              <w:spacing w:before="0" w:beforeAutospacing="0" w:after="0" w:afterAutospacing="0"/>
              <w:ind w:left="0" w:right="0" w:firstLine="400"/>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94.91%</w:t>
            </w:r>
          </w:p>
        </w:tc>
      </w:tr>
      <w:tr w14:paraId="570FFB3E">
        <w:tblPrEx>
          <w:tblCellMar>
            <w:top w:w="0" w:type="dxa"/>
            <w:left w:w="28" w:type="dxa"/>
            <w:bottom w:w="0" w:type="dxa"/>
            <w:right w:w="28" w:type="dxa"/>
          </w:tblCellMar>
        </w:tblPrEx>
        <w:trPr>
          <w:trHeight w:val="280" w:hRule="atLeast"/>
        </w:trPr>
        <w:tc>
          <w:tcPr>
            <w:tcW w:w="87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CF05BA">
            <w:pPr>
              <w:keepNext w:val="0"/>
              <w:keepLines w:val="0"/>
              <w:suppressLineNumbers w:val="0"/>
              <w:spacing w:before="0" w:beforeAutospacing="0" w:after="0" w:afterAutospacing="0"/>
              <w:ind w:left="0" w:right="0" w:firstLine="400"/>
              <w:jc w:val="center"/>
              <w:rPr>
                <w:rFonts w:ascii="宋体" w:hAnsi="宋体" w:cs="宋体"/>
                <w:color w:val="000000"/>
                <w:sz w:val="20"/>
                <w:szCs w:val="20"/>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53ACE1">
            <w:pPr>
              <w:keepNext w:val="0"/>
              <w:keepLines w:val="0"/>
              <w:widowControl/>
              <w:suppressLineNumbers w:val="0"/>
              <w:spacing w:before="0" w:beforeAutospacing="0" w:after="0" w:afterAutospacing="0"/>
              <w:ind w:left="0" w:right="0" w:firstLine="0"/>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合计</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318FB3">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41,087.81</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DC0C1">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53,544.56</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3B7F6">
            <w:pPr>
              <w:keepNext w:val="0"/>
              <w:keepLines w:val="0"/>
              <w:widowControl/>
              <w:suppressLineNumbers w:val="0"/>
              <w:spacing w:before="0" w:beforeAutospacing="0" w:after="0" w:afterAutospacing="0"/>
              <w:ind w:left="0" w:right="0" w:firstLine="402"/>
              <w:jc w:val="right"/>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51,797.93</w:t>
            </w:r>
          </w:p>
        </w:tc>
        <w:tc>
          <w:tcPr>
            <w:tcW w:w="8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EE4B4">
            <w:pPr>
              <w:keepNext w:val="0"/>
              <w:keepLines w:val="0"/>
              <w:widowControl/>
              <w:suppressLineNumbers w:val="0"/>
              <w:spacing w:before="0" w:beforeAutospacing="0" w:after="0" w:afterAutospacing="0"/>
              <w:ind w:left="0" w:right="0" w:firstLine="402"/>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96.74%</w:t>
            </w:r>
          </w:p>
        </w:tc>
      </w:tr>
    </w:tbl>
    <w:p w14:paraId="762B043F">
      <w:pPr>
        <w:adjustRightInd w:val="0"/>
        <w:snapToGrid w:val="0"/>
        <w:ind w:firstLine="400" w:firstLineChars="200"/>
        <w:jc w:val="left"/>
        <w:rPr>
          <w:rFonts w:hint="eastAsia" w:ascii="宋体" w:hAnsi="宋体"/>
          <w:sz w:val="20"/>
          <w:szCs w:val="20"/>
        </w:rPr>
      </w:pPr>
      <w:r>
        <w:rPr>
          <w:rFonts w:hint="eastAsia" w:ascii="宋体" w:hAnsi="宋体"/>
          <w:sz w:val="20"/>
          <w:szCs w:val="20"/>
        </w:rPr>
        <w:t>注：首都之窗虽已于2023年转隶为市政务服务局所属事业单位，但相关预算及支出仍由原所属部门管理，未纳入市政务服务局部门决算中。</w:t>
      </w:r>
    </w:p>
    <w:p w14:paraId="070C4A48">
      <w:pPr>
        <w:adjustRightInd w:val="0"/>
        <w:snapToGrid w:val="0"/>
        <w:ind w:firstLine="400" w:firstLineChars="200"/>
        <w:jc w:val="left"/>
        <w:rPr>
          <w:rFonts w:hint="eastAsia" w:ascii="宋体" w:hAnsi="宋体"/>
          <w:sz w:val="20"/>
          <w:szCs w:val="20"/>
        </w:rPr>
      </w:pPr>
    </w:p>
    <w:p w14:paraId="3E680CED">
      <w:pPr>
        <w:adjustRightInd w:val="0"/>
        <w:snapToGrid w:val="0"/>
        <w:ind w:firstLine="400" w:firstLineChars="200"/>
        <w:jc w:val="left"/>
        <w:rPr>
          <w:rFonts w:ascii="宋体" w:hAnsi="宋体"/>
          <w:sz w:val="20"/>
          <w:szCs w:val="20"/>
        </w:rPr>
      </w:pPr>
    </w:p>
    <w:p w14:paraId="205ADD72">
      <w:pPr>
        <w:adjustRightInd w:val="0"/>
        <w:snapToGrid w:val="0"/>
        <w:spacing w:line="560" w:lineRule="exact"/>
        <w:ind w:leftChars="-67" w:hanging="140" w:hangingChars="67"/>
        <w:jc w:val="center"/>
        <w:rPr>
          <w:rFonts w:hint="eastAsia" w:ascii="黑体" w:hAnsi="黑体" w:eastAsia="黑体" w:cs="宋体"/>
          <w:color w:val="000000"/>
          <w:kern w:val="0"/>
          <w:sz w:val="28"/>
          <w:szCs w:val="28"/>
        </w:rPr>
      </w:pPr>
      <w:r>
        <w:drawing>
          <wp:anchor distT="0" distB="0" distL="114300" distR="114300" simplePos="0" relativeHeight="251660288" behindDoc="0" locked="0" layoutInCell="1" allowOverlap="1">
            <wp:simplePos x="0" y="0"/>
            <wp:positionH relativeFrom="column">
              <wp:posOffset>-148590</wp:posOffset>
            </wp:positionH>
            <wp:positionV relativeFrom="paragraph">
              <wp:posOffset>143510</wp:posOffset>
            </wp:positionV>
            <wp:extent cx="5734050" cy="3505200"/>
            <wp:effectExtent l="4445" t="4445" r="5080" b="5080"/>
            <wp:wrapSquare wrapText="bothSides"/>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Pr>
          <w:rFonts w:hint="eastAsia" w:ascii="黑体" w:hAnsi="黑体" w:eastAsia="黑体" w:cs="宋体"/>
          <w:color w:val="000000"/>
          <w:kern w:val="0"/>
          <w:sz w:val="28"/>
          <w:szCs w:val="28"/>
        </w:rPr>
        <w:t>图2：部门经济分类支出构成</w:t>
      </w:r>
    </w:p>
    <w:p w14:paraId="3102F9BF">
      <w:pPr>
        <w:adjustRightInd w:val="0"/>
        <w:snapToGrid w:val="0"/>
        <w:spacing w:line="560" w:lineRule="exact"/>
        <w:ind w:leftChars="-67" w:hanging="134" w:hangingChars="67"/>
        <w:jc w:val="center"/>
        <w:rPr>
          <w:rFonts w:ascii="黑体" w:hAnsi="黑体" w:eastAsia="黑体" w:cs="宋体"/>
          <w:color w:val="000000"/>
          <w:kern w:val="0"/>
          <w:sz w:val="20"/>
          <w:szCs w:val="20"/>
        </w:rPr>
      </w:pPr>
    </w:p>
    <w:p w14:paraId="4EAE6B69">
      <w:pPr>
        <w:adjustRightInd w:val="0"/>
        <w:snapToGrid w:val="0"/>
        <w:spacing w:line="560" w:lineRule="exact"/>
        <w:ind w:firstLine="640" w:firstLineChars="200"/>
        <w:outlineLvl w:val="0"/>
        <w:rPr>
          <w:rFonts w:ascii="黑体" w:hAnsi="黑体" w:eastAsia="黑体" w:cs="宋体"/>
          <w:kern w:val="0"/>
          <w:sz w:val="32"/>
          <w:szCs w:val="32"/>
        </w:rPr>
      </w:pPr>
      <w:bookmarkStart w:id="9" w:name="_Toc24899"/>
      <w:bookmarkStart w:id="10" w:name="_Toc928"/>
      <w:r>
        <w:rPr>
          <w:rFonts w:hint="eastAsia" w:ascii="黑体" w:hAnsi="黑体" w:eastAsia="黑体" w:cs="宋体"/>
          <w:kern w:val="0"/>
          <w:sz w:val="32"/>
          <w:szCs w:val="32"/>
        </w:rPr>
        <w:t>三</w:t>
      </w:r>
      <w:r>
        <w:rPr>
          <w:rFonts w:ascii="黑体" w:hAnsi="黑体" w:eastAsia="黑体" w:cs="宋体"/>
          <w:kern w:val="0"/>
          <w:sz w:val="32"/>
          <w:szCs w:val="32"/>
        </w:rPr>
        <w:t>、整体绩效目标实现情况</w:t>
      </w:r>
      <w:bookmarkEnd w:id="9"/>
      <w:bookmarkEnd w:id="10"/>
    </w:p>
    <w:p w14:paraId="4D730643">
      <w:pPr>
        <w:adjustRightInd w:val="0"/>
        <w:snapToGrid w:val="0"/>
        <w:spacing w:line="560" w:lineRule="exact"/>
        <w:ind w:firstLine="640" w:firstLineChars="200"/>
        <w:outlineLvl w:val="1"/>
        <w:rPr>
          <w:rFonts w:ascii="楷体_GB2312" w:eastAsia="楷体_GB2312"/>
          <w:sz w:val="32"/>
          <w:szCs w:val="32"/>
        </w:rPr>
      </w:pPr>
      <w:bookmarkStart w:id="11" w:name="_Toc30162"/>
      <w:bookmarkStart w:id="12" w:name="_Toc9177"/>
      <w:r>
        <w:rPr>
          <w:rFonts w:hint="eastAsia" w:ascii="楷体_GB2312" w:eastAsia="楷体_GB2312"/>
          <w:sz w:val="32"/>
          <w:szCs w:val="32"/>
        </w:rPr>
        <w:t>（一）产出完成情况分析</w:t>
      </w:r>
      <w:bookmarkEnd w:id="11"/>
      <w:bookmarkEnd w:id="12"/>
    </w:p>
    <w:p w14:paraId="693C05B5">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1.产出数量</w:t>
      </w:r>
    </w:p>
    <w:p w14:paraId="74F58183">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eastAsia="仿宋_GB2312" w:cs="仿宋_GB2312"/>
          <w:sz w:val="32"/>
          <w:szCs w:val="32"/>
          <w:lang w:val="en-US"/>
        </w:rPr>
      </w:pPr>
      <w:bookmarkStart w:id="13" w:name="_Hlk135047624"/>
      <w:r>
        <w:rPr>
          <w:rFonts w:hint="eastAsia" w:ascii="仿宋_GB2312" w:hAnsi="Times New Roman" w:eastAsia="仿宋_GB2312" w:cs="仿宋_GB2312"/>
          <w:bCs/>
          <w:kern w:val="2"/>
          <w:sz w:val="32"/>
          <w:szCs w:val="32"/>
          <w:lang w:val="en-US" w:eastAsia="zh-CN" w:bidi="ar"/>
        </w:rPr>
        <w:t>市政务服务局</w:t>
      </w:r>
      <w:r>
        <w:rPr>
          <w:rFonts w:hint="eastAsia" w:ascii="仿宋_GB2312" w:hAnsi="宋体" w:eastAsia="仿宋_GB2312" w:cs="仿宋_GB2312"/>
          <w:bCs/>
          <w:kern w:val="2"/>
          <w:sz w:val="32"/>
          <w:szCs w:val="32"/>
          <w:lang w:val="en-US" w:eastAsia="zh-CN" w:bidi="ar"/>
        </w:rPr>
        <w:t>根据北京市“十四五”规划和2035远景目标建议以及市政务服务局工作规划，坚决贯彻落实市委市政府决策部署，</w:t>
      </w:r>
      <w:r>
        <w:rPr>
          <w:rFonts w:hint="eastAsia" w:ascii="仿宋_GB2312" w:hAnsi="Times New Roman" w:eastAsia="仿宋_GB2312" w:cs="仿宋_GB2312"/>
          <w:kern w:val="2"/>
          <w:sz w:val="32"/>
          <w:szCs w:val="32"/>
          <w:lang w:val="en-US" w:eastAsia="zh-CN" w:bidi="ar"/>
        </w:rPr>
        <w:t>认真履行好“数字政务建设、政务服务大厅服务保障、政府信息公开和政务公开、优化服务改革和行政审批制度改革、政务服务体系规划建设、接诉即办及数字化转型”等工作</w:t>
      </w:r>
      <w:r>
        <w:rPr>
          <w:rFonts w:hint="eastAsia" w:ascii="仿宋_GB2312" w:eastAsia="仿宋_GB2312" w:cs="仿宋_GB2312"/>
          <w:kern w:val="2"/>
          <w:sz w:val="32"/>
          <w:szCs w:val="32"/>
          <w:lang w:val="en-US" w:eastAsia="zh-CN" w:bidi="ar"/>
        </w:rPr>
        <w:t>及其他服务</w:t>
      </w:r>
      <w:r>
        <w:rPr>
          <w:rFonts w:hint="eastAsia" w:ascii="仿宋_GB2312" w:hAnsi="Times New Roman" w:eastAsia="仿宋_GB2312" w:cs="仿宋_GB2312"/>
          <w:kern w:val="2"/>
          <w:sz w:val="32"/>
          <w:szCs w:val="32"/>
          <w:lang w:val="en-US" w:eastAsia="zh-CN" w:bidi="ar"/>
        </w:rPr>
        <w:t>保障类工作开展，</w:t>
      </w:r>
      <w:r>
        <w:rPr>
          <w:rFonts w:hint="eastAsia" w:ascii="仿宋_GB2312" w:hAnsi="宋体" w:eastAsia="仿宋_GB2312" w:cs="仿宋_GB2312"/>
          <w:bCs/>
          <w:kern w:val="2"/>
          <w:sz w:val="32"/>
          <w:szCs w:val="32"/>
          <w:lang w:val="en-US" w:eastAsia="zh-CN" w:bidi="ar"/>
        </w:rPr>
        <w:t>各项职能职责积极、有效履行，部门整体绩效目标无偏离。</w:t>
      </w:r>
      <w:bookmarkEnd w:id="13"/>
    </w:p>
    <w:p w14:paraId="2F07E501">
      <w:pPr>
        <w:adjustRightInd w:val="0"/>
        <w:snapToGrid w:val="0"/>
        <w:spacing w:line="560" w:lineRule="exact"/>
        <w:ind w:firstLine="640" w:firstLineChars="200"/>
        <w:rPr>
          <w:rFonts w:hint="eastAsia" w:ascii="仿宋_GB2312" w:hAnsi="Courier New" w:eastAsia="仿宋_GB2312"/>
          <w:sz w:val="32"/>
          <w:szCs w:val="32"/>
          <w:highlight w:val="none"/>
        </w:rPr>
      </w:pPr>
      <w:r>
        <w:rPr>
          <w:rFonts w:hint="eastAsia" w:ascii="仿宋_GB2312" w:eastAsia="仿宋_GB2312"/>
          <w:bCs/>
          <w:sz w:val="32"/>
          <w:szCs w:val="32"/>
          <w:highlight w:val="none"/>
        </w:rPr>
        <w:t>截至202</w:t>
      </w:r>
      <w:r>
        <w:rPr>
          <w:rFonts w:hint="eastAsia" w:ascii="仿宋_GB2312" w:eastAsia="仿宋_GB2312"/>
          <w:bCs/>
          <w:sz w:val="32"/>
          <w:szCs w:val="32"/>
          <w:highlight w:val="none"/>
          <w:lang w:val="en-US" w:eastAsia="zh-CN"/>
        </w:rPr>
        <w:t>3</w:t>
      </w:r>
      <w:r>
        <w:rPr>
          <w:rFonts w:hint="eastAsia" w:ascii="仿宋_GB2312" w:eastAsia="仿宋_GB2312"/>
          <w:bCs/>
          <w:sz w:val="32"/>
          <w:szCs w:val="32"/>
          <w:highlight w:val="none"/>
        </w:rPr>
        <w:t>年底，市政务服务局各项工作按照《北京市2</w:t>
      </w:r>
      <w:r>
        <w:rPr>
          <w:rFonts w:ascii="仿宋_GB2312" w:eastAsia="仿宋_GB2312"/>
          <w:bCs/>
          <w:sz w:val="32"/>
          <w:szCs w:val="32"/>
          <w:highlight w:val="none"/>
        </w:rPr>
        <w:t>02</w:t>
      </w:r>
      <w:r>
        <w:rPr>
          <w:rFonts w:hint="eastAsia" w:ascii="仿宋_GB2312" w:eastAsia="仿宋_GB2312"/>
          <w:bCs/>
          <w:sz w:val="32"/>
          <w:szCs w:val="32"/>
          <w:highlight w:val="none"/>
          <w:lang w:val="en-US" w:eastAsia="zh-CN"/>
        </w:rPr>
        <w:t>3</w:t>
      </w:r>
      <w:r>
        <w:rPr>
          <w:rFonts w:hint="eastAsia" w:ascii="仿宋_GB2312" w:eastAsia="仿宋_GB2312"/>
          <w:bCs/>
          <w:sz w:val="32"/>
          <w:szCs w:val="32"/>
          <w:highlight w:val="none"/>
        </w:rPr>
        <w:t>年政务服务行动计划》中的计划稳步、有序推进，围绕重点事项主要开展了</w:t>
      </w:r>
      <w:r>
        <w:rPr>
          <w:rFonts w:hint="eastAsia" w:ascii="仿宋_GB2312" w:eastAsia="仿宋_GB2312"/>
          <w:bCs/>
          <w:sz w:val="32"/>
          <w:szCs w:val="32"/>
          <w:highlight w:val="none"/>
          <w:lang w:eastAsia="zh-CN"/>
        </w:rPr>
        <w:t>“</w:t>
      </w:r>
      <w:r>
        <w:rPr>
          <w:rFonts w:hint="eastAsia" w:ascii="仿宋_GB2312" w:eastAsia="仿宋_GB2312"/>
          <w:bCs/>
          <w:sz w:val="32"/>
          <w:szCs w:val="32"/>
          <w:highlight w:val="none"/>
          <w:lang w:val="en-US" w:eastAsia="zh-CN"/>
        </w:rPr>
        <w:t>贯</w:t>
      </w:r>
      <w:r>
        <w:rPr>
          <w:rFonts w:hint="eastAsia" w:ascii="仿宋_GB2312" w:eastAsia="仿宋_GB2312"/>
          <w:bCs/>
          <w:sz w:val="32"/>
          <w:szCs w:val="32"/>
          <w:highlight w:val="none"/>
        </w:rPr>
        <w:t>彻新发展理念，推动</w:t>
      </w:r>
      <w:r>
        <w:rPr>
          <w:rFonts w:hint="eastAsia" w:ascii="仿宋_GB2312" w:eastAsia="仿宋_GB2312"/>
          <w:bCs/>
          <w:sz w:val="32"/>
          <w:szCs w:val="32"/>
          <w:highlight w:val="none"/>
          <w:lang w:eastAsia="zh-CN"/>
        </w:rPr>
        <w:t>‘</w:t>
      </w:r>
      <w:r>
        <w:rPr>
          <w:rFonts w:hint="eastAsia" w:ascii="仿宋_GB2312" w:eastAsia="仿宋_GB2312"/>
          <w:bCs/>
          <w:sz w:val="32"/>
          <w:szCs w:val="32"/>
          <w:highlight w:val="none"/>
        </w:rPr>
        <w:t>五</w:t>
      </w:r>
      <w:r>
        <w:rPr>
          <w:rFonts w:hint="eastAsia" w:ascii="仿宋_GB2312" w:eastAsia="仿宋_GB2312"/>
          <w:bCs/>
          <w:sz w:val="32"/>
          <w:szCs w:val="32"/>
          <w:highlight w:val="none"/>
          <w:lang w:val="en-US" w:eastAsia="zh-CN"/>
        </w:rPr>
        <w:t>子</w:t>
      </w:r>
      <w:r>
        <w:rPr>
          <w:rFonts w:hint="eastAsia" w:ascii="仿宋_GB2312" w:eastAsia="仿宋_GB2312"/>
          <w:bCs/>
          <w:sz w:val="32"/>
          <w:szCs w:val="32"/>
          <w:highlight w:val="none"/>
          <w:lang w:eastAsia="zh-CN"/>
        </w:rPr>
        <w:t>’</w:t>
      </w:r>
      <w:r>
        <w:rPr>
          <w:rFonts w:hint="eastAsia" w:ascii="仿宋_GB2312" w:eastAsia="仿宋_GB2312"/>
          <w:bCs/>
          <w:sz w:val="32"/>
          <w:szCs w:val="32"/>
          <w:highlight w:val="none"/>
        </w:rPr>
        <w:t>联动融入新发展格局，服务首都高质量发展</w:t>
      </w:r>
      <w:r>
        <w:rPr>
          <w:rFonts w:hint="eastAsia" w:ascii="仿宋_GB2312" w:eastAsia="仿宋_GB2312"/>
          <w:bCs/>
          <w:sz w:val="32"/>
          <w:szCs w:val="32"/>
          <w:highlight w:val="none"/>
          <w:lang w:eastAsia="zh-CN"/>
        </w:rPr>
        <w:t>”“推进现代化治理，探索形成超大城市治理‘首都样板’，全心全力守好百姓日子”“推进全链条改革，激发市场主体活力和社会创造力，大力提振市场信心”</w:t>
      </w:r>
      <w:r>
        <w:rPr>
          <w:rFonts w:hint="eastAsia" w:ascii="仿宋_GB2312" w:eastAsia="仿宋_GB2312"/>
          <w:bCs/>
          <w:sz w:val="32"/>
          <w:szCs w:val="32"/>
          <w:highlight w:val="none"/>
        </w:rPr>
        <w:t>“推进便利化升级，精准提供全流程全要素高品质服务，营造稳定公平透明可预期的发展环境</w:t>
      </w:r>
      <w:r>
        <w:rPr>
          <w:rFonts w:hint="eastAsia" w:ascii="仿宋_GB2312" w:eastAsia="仿宋_GB2312"/>
          <w:bCs/>
          <w:sz w:val="32"/>
          <w:szCs w:val="32"/>
          <w:highlight w:val="none"/>
          <w:lang w:eastAsia="zh-CN"/>
        </w:rPr>
        <w:t>”“加强数字政府建设，释放数字红利，加速打造更加协同友好便利的数字服务”“坚持国际化提升，打造政务服务国际品牌，更好地服务高水平对外开放”“加强一体化融合，激发改革新动能，推动首都政务服务整体升级”“抓好体系建设，形成更大改革合力，筑牢新时代政务服务新发展坚实基础”</w:t>
      </w:r>
      <w:r>
        <w:rPr>
          <w:rFonts w:hint="eastAsia" w:ascii="仿宋_GB2312" w:eastAsia="仿宋_GB2312"/>
          <w:bCs/>
          <w:sz w:val="32"/>
          <w:szCs w:val="32"/>
          <w:highlight w:val="none"/>
        </w:rPr>
        <w:t>等</w:t>
      </w:r>
      <w:r>
        <w:rPr>
          <w:rFonts w:hint="eastAsia" w:ascii="仿宋_GB2312" w:eastAsia="仿宋_GB2312"/>
          <w:bCs/>
          <w:sz w:val="32"/>
          <w:szCs w:val="32"/>
          <w:highlight w:val="none"/>
          <w:lang w:val="en-US" w:eastAsia="zh-CN"/>
        </w:rPr>
        <w:t>八</w:t>
      </w:r>
      <w:r>
        <w:rPr>
          <w:rFonts w:hint="eastAsia" w:ascii="仿宋_GB2312" w:hAnsi="仿宋" w:eastAsia="仿宋_GB2312" w:cs="仿宋"/>
          <w:sz w:val="32"/>
          <w:szCs w:val="32"/>
          <w:highlight w:val="none"/>
        </w:rPr>
        <w:t>方面</w:t>
      </w:r>
      <w:r>
        <w:rPr>
          <w:rFonts w:hint="eastAsia" w:ascii="仿宋_GB2312" w:eastAsia="仿宋_GB2312"/>
          <w:bCs/>
          <w:sz w:val="32"/>
          <w:szCs w:val="32"/>
          <w:highlight w:val="none"/>
        </w:rPr>
        <w:t>工作，</w:t>
      </w:r>
      <w:r>
        <w:rPr>
          <w:rFonts w:hint="eastAsia" w:ascii="仿宋_GB2312" w:hAnsi="Courier New" w:eastAsia="仿宋_GB2312"/>
          <w:sz w:val="32"/>
          <w:szCs w:val="32"/>
          <w:highlight w:val="none"/>
        </w:rPr>
        <w:t>在市委市政府坚强领导下，高质量完成</w:t>
      </w:r>
      <w:r>
        <w:rPr>
          <w:rFonts w:hint="eastAsia" w:ascii="仿宋_GB2312" w:hAnsi="Courier New" w:eastAsia="仿宋_GB2312"/>
          <w:sz w:val="32"/>
          <w:szCs w:val="32"/>
          <w:highlight w:val="none"/>
          <w:lang w:val="en-US" w:eastAsia="zh-CN"/>
        </w:rPr>
        <w:t>26</w:t>
      </w:r>
      <w:r>
        <w:rPr>
          <w:rFonts w:hint="eastAsia" w:ascii="仿宋_GB2312" w:hAnsi="Courier New" w:eastAsia="仿宋_GB2312"/>
          <w:sz w:val="32"/>
          <w:szCs w:val="32"/>
          <w:highlight w:val="none"/>
        </w:rPr>
        <w:t>项市政府报告重点工作、</w:t>
      </w:r>
      <w:r>
        <w:rPr>
          <w:rFonts w:hint="eastAsia" w:ascii="仿宋_GB2312" w:hAnsi="Courier New" w:eastAsia="仿宋_GB2312"/>
          <w:sz w:val="32"/>
          <w:szCs w:val="32"/>
          <w:highlight w:val="none"/>
          <w:lang w:val="en-US" w:eastAsia="zh-CN"/>
        </w:rPr>
        <w:t>1</w:t>
      </w:r>
      <w:r>
        <w:rPr>
          <w:rFonts w:hint="eastAsia" w:ascii="仿宋_GB2312" w:hAnsi="Courier New" w:eastAsia="仿宋_GB2312"/>
          <w:sz w:val="32"/>
          <w:szCs w:val="32"/>
          <w:highlight w:val="none"/>
        </w:rPr>
        <w:t>项重要民生实事项目，办理</w:t>
      </w:r>
      <w:r>
        <w:rPr>
          <w:rFonts w:hint="eastAsia" w:ascii="仿宋_GB2312" w:hAnsi="Courier New" w:eastAsia="仿宋_GB2312"/>
          <w:sz w:val="32"/>
          <w:szCs w:val="32"/>
          <w:highlight w:val="none"/>
          <w:lang w:val="en-US" w:eastAsia="zh-CN"/>
        </w:rPr>
        <w:t>145</w:t>
      </w:r>
      <w:r>
        <w:rPr>
          <w:rFonts w:hint="eastAsia" w:ascii="仿宋_GB2312" w:hAnsi="Courier New" w:eastAsia="仿宋_GB2312"/>
          <w:sz w:val="32"/>
          <w:szCs w:val="32"/>
          <w:highlight w:val="none"/>
        </w:rPr>
        <w:t>件市委督查室、市政府办公厅督查件，办理</w:t>
      </w:r>
      <w:r>
        <w:rPr>
          <w:rFonts w:hint="eastAsia" w:ascii="仿宋_GB2312" w:hAnsi="Courier New" w:eastAsia="仿宋_GB2312"/>
          <w:sz w:val="32"/>
          <w:szCs w:val="32"/>
          <w:highlight w:val="none"/>
          <w:lang w:val="en-US" w:eastAsia="zh-CN"/>
        </w:rPr>
        <w:t>27</w:t>
      </w:r>
      <w:r>
        <w:rPr>
          <w:rFonts w:hint="eastAsia" w:ascii="仿宋_GB2312" w:hAnsi="Courier New" w:eastAsia="仿宋_GB2312"/>
          <w:sz w:val="32"/>
          <w:szCs w:val="32"/>
          <w:highlight w:val="none"/>
        </w:rPr>
        <w:t>件市人大、市政协建议提案，推动完成</w:t>
      </w:r>
      <w:r>
        <w:rPr>
          <w:rFonts w:hint="eastAsia" w:ascii="仿宋_GB2312" w:hAnsi="Courier New" w:eastAsia="仿宋_GB2312"/>
          <w:sz w:val="32"/>
          <w:szCs w:val="32"/>
          <w:highlight w:val="none"/>
          <w:lang w:val="en-US" w:eastAsia="zh-CN"/>
        </w:rPr>
        <w:t>68</w:t>
      </w:r>
      <w:r>
        <w:rPr>
          <w:rFonts w:hint="eastAsia" w:ascii="仿宋_GB2312" w:hAnsi="Courier New" w:eastAsia="仿宋_GB2312"/>
          <w:sz w:val="32"/>
          <w:szCs w:val="32"/>
          <w:highlight w:val="none"/>
        </w:rPr>
        <w:t>项营商环境</w:t>
      </w:r>
      <w:r>
        <w:rPr>
          <w:rFonts w:hint="eastAsia" w:ascii="仿宋_GB2312" w:hAnsi="Courier New" w:eastAsia="仿宋_GB2312"/>
          <w:sz w:val="32"/>
          <w:szCs w:val="32"/>
          <w:highlight w:val="none"/>
          <w:lang w:val="en-US" w:eastAsia="zh-CN"/>
        </w:rPr>
        <w:t>6</w:t>
      </w:r>
      <w:r>
        <w:rPr>
          <w:rFonts w:hint="eastAsia" w:ascii="仿宋_GB2312" w:hAnsi="Courier New" w:eastAsia="仿宋_GB2312"/>
          <w:sz w:val="32"/>
          <w:szCs w:val="32"/>
          <w:highlight w:val="none"/>
        </w:rPr>
        <w:t>.0任务，完成</w:t>
      </w:r>
      <w:r>
        <w:rPr>
          <w:rFonts w:hint="eastAsia" w:ascii="仿宋_GB2312" w:hAnsi="Courier New" w:eastAsia="仿宋_GB2312"/>
          <w:sz w:val="32"/>
          <w:szCs w:val="32"/>
          <w:highlight w:val="none"/>
          <w:lang w:val="en-US" w:eastAsia="zh-CN"/>
        </w:rPr>
        <w:t>165</w:t>
      </w:r>
      <w:r>
        <w:rPr>
          <w:rFonts w:hint="eastAsia" w:ascii="仿宋_GB2312" w:hAnsi="Courier New" w:eastAsia="仿宋_GB2312"/>
          <w:sz w:val="32"/>
          <w:szCs w:val="32"/>
          <w:highlight w:val="none"/>
        </w:rPr>
        <w:t>项政务服务行动计划任务。</w:t>
      </w:r>
    </w:p>
    <w:p w14:paraId="25F56E3F">
      <w:pPr>
        <w:adjustRightInd w:val="0"/>
        <w:snapToGrid w:val="0"/>
        <w:spacing w:line="560" w:lineRule="exact"/>
        <w:ind w:firstLine="640" w:firstLineChars="200"/>
        <w:rPr>
          <w:rFonts w:hint="eastAsia" w:ascii="仿宋_GB2312" w:eastAsia="仿宋_GB2312"/>
          <w:bCs/>
          <w:sz w:val="32"/>
          <w:szCs w:val="32"/>
          <w:highlight w:val="none"/>
        </w:rPr>
      </w:pPr>
      <w:r>
        <w:rPr>
          <w:rFonts w:hint="eastAsia" w:ascii="仿宋_GB2312" w:eastAsia="仿宋_GB2312"/>
          <w:bCs/>
          <w:sz w:val="32"/>
          <w:szCs w:val="32"/>
        </w:rPr>
        <w:t>根据部门年度工作安排，市政务服务局将部门整体产出分解至各处室及二级预算单位的</w:t>
      </w:r>
      <w:r>
        <w:rPr>
          <w:rFonts w:hint="eastAsia" w:ascii="仿宋_GB2312" w:eastAsia="仿宋_GB2312"/>
          <w:bCs/>
          <w:sz w:val="32"/>
          <w:szCs w:val="32"/>
          <w:lang w:val="en-US" w:eastAsia="zh-CN"/>
        </w:rPr>
        <w:t>91</w:t>
      </w:r>
      <w:r>
        <w:rPr>
          <w:rFonts w:hint="eastAsia" w:ascii="仿宋_GB2312" w:eastAsia="仿宋_GB2312"/>
          <w:bCs/>
          <w:sz w:val="32"/>
          <w:szCs w:val="32"/>
        </w:rPr>
        <w:t>个项目</w:t>
      </w:r>
      <w:r>
        <w:rPr>
          <w:rStyle w:val="21"/>
          <w:rFonts w:hint="eastAsia" w:ascii="仿宋_GB2312" w:eastAsia="仿宋_GB2312"/>
          <w:bCs/>
          <w:sz w:val="32"/>
          <w:szCs w:val="32"/>
        </w:rPr>
        <w:footnoteReference w:id="2"/>
      </w:r>
      <w:r>
        <w:rPr>
          <w:rFonts w:hint="eastAsia" w:ascii="仿宋_GB2312" w:eastAsia="仿宋_GB2312"/>
          <w:bCs/>
          <w:sz w:val="32"/>
          <w:szCs w:val="32"/>
        </w:rPr>
        <w:t>中，</w:t>
      </w:r>
      <w:r>
        <w:rPr>
          <w:rFonts w:hint="eastAsia" w:ascii="仿宋_GB2312" w:eastAsia="仿宋_GB2312"/>
          <w:bCs/>
          <w:sz w:val="32"/>
          <w:szCs w:val="32"/>
          <w:highlight w:val="none"/>
        </w:rPr>
        <w:t>除第三方大数据挖掘及评估分析、首都国际化网上服务品牌和能力提升服务</w:t>
      </w:r>
      <w:r>
        <w:rPr>
          <w:rFonts w:hint="eastAsia" w:ascii="仿宋_GB2312" w:eastAsia="仿宋_GB2312"/>
          <w:bCs/>
          <w:sz w:val="32"/>
          <w:szCs w:val="32"/>
          <w:highlight w:val="none"/>
          <w:lang w:eastAsia="zh-CN"/>
        </w:rPr>
        <w:t>、北京市政务服务监督检查和效能促进平台、市政务服务工作解读服务</w:t>
      </w:r>
      <w:r>
        <w:rPr>
          <w:rFonts w:hint="eastAsia" w:ascii="仿宋_GB2312" w:eastAsia="仿宋_GB2312"/>
          <w:bCs/>
          <w:sz w:val="32"/>
          <w:szCs w:val="32"/>
          <w:highlight w:val="none"/>
        </w:rPr>
        <w:t>等</w:t>
      </w:r>
      <w:r>
        <w:rPr>
          <w:rFonts w:hint="eastAsia" w:ascii="仿宋_GB2312" w:eastAsia="仿宋_GB2312"/>
          <w:bCs/>
          <w:sz w:val="32"/>
          <w:szCs w:val="32"/>
          <w:highlight w:val="none"/>
          <w:lang w:val="en-US" w:eastAsia="zh-CN"/>
        </w:rPr>
        <w:t>23</w:t>
      </w:r>
      <w:r>
        <w:rPr>
          <w:rFonts w:hint="eastAsia" w:ascii="仿宋_GB2312" w:eastAsia="仿宋_GB2312"/>
          <w:bCs/>
          <w:sz w:val="32"/>
          <w:szCs w:val="32"/>
          <w:highlight w:val="none"/>
        </w:rPr>
        <w:t>个项目部分产出未按原计划完成</w:t>
      </w:r>
      <w:r>
        <w:rPr>
          <w:rFonts w:hint="eastAsia" w:ascii="仿宋_GB2312" w:eastAsia="仿宋_GB2312"/>
          <w:bCs/>
          <w:sz w:val="32"/>
          <w:szCs w:val="32"/>
          <w:highlight w:val="none"/>
          <w:lang w:val="en-US" w:eastAsia="zh-CN"/>
        </w:rPr>
        <w:t>或较原计划有一定偏差</w:t>
      </w:r>
      <w:r>
        <w:rPr>
          <w:rFonts w:hint="eastAsia" w:ascii="仿宋_GB2312" w:eastAsia="仿宋_GB2312"/>
          <w:bCs/>
          <w:sz w:val="32"/>
          <w:szCs w:val="32"/>
          <w:highlight w:val="none"/>
        </w:rPr>
        <w:t>外（见表5），其余产出数量指标均达到预期目标。</w:t>
      </w:r>
    </w:p>
    <w:p w14:paraId="06F2DC2A">
      <w:pPr>
        <w:adjustRightInd w:val="0"/>
        <w:snapToGrid w:val="0"/>
        <w:spacing w:line="560" w:lineRule="exact"/>
        <w:ind w:firstLine="640" w:firstLineChars="200"/>
        <w:rPr>
          <w:rFonts w:hint="eastAsia" w:ascii="仿宋_GB2312" w:eastAsia="仿宋_GB2312"/>
          <w:bCs/>
          <w:sz w:val="32"/>
          <w:szCs w:val="32"/>
          <w:highlight w:val="none"/>
        </w:rPr>
      </w:pPr>
    </w:p>
    <w:p w14:paraId="52C63F30">
      <w:pPr>
        <w:adjustRightInd w:val="0"/>
        <w:snapToGrid w:val="0"/>
        <w:spacing w:line="560" w:lineRule="exact"/>
        <w:ind w:firstLine="640" w:firstLineChars="200"/>
        <w:rPr>
          <w:rFonts w:hint="eastAsia" w:ascii="仿宋_GB2312" w:eastAsia="仿宋_GB2312"/>
          <w:bCs/>
          <w:sz w:val="32"/>
          <w:szCs w:val="32"/>
          <w:highlight w:val="none"/>
        </w:rPr>
      </w:pPr>
    </w:p>
    <w:p w14:paraId="34433DB5">
      <w:pPr>
        <w:adjustRightInd w:val="0"/>
        <w:snapToGrid w:val="0"/>
        <w:spacing w:line="560" w:lineRule="exact"/>
        <w:ind w:firstLine="560"/>
        <w:jc w:val="center"/>
        <w:rPr>
          <w:rFonts w:hint="eastAsia" w:ascii="黑体" w:hAnsi="黑体" w:eastAsia="黑体"/>
          <w:sz w:val="28"/>
          <w:szCs w:val="28"/>
        </w:rPr>
      </w:pPr>
      <w:r>
        <w:rPr>
          <w:rFonts w:hint="eastAsia" w:ascii="黑体" w:hAnsi="黑体" w:eastAsia="黑体"/>
          <w:sz w:val="28"/>
          <w:szCs w:val="28"/>
        </w:rPr>
        <w:t>表</w:t>
      </w:r>
      <w:r>
        <w:rPr>
          <w:rFonts w:ascii="黑体" w:hAnsi="黑体" w:eastAsia="黑体"/>
          <w:sz w:val="28"/>
          <w:szCs w:val="28"/>
        </w:rPr>
        <w:t>5</w:t>
      </w:r>
      <w:r>
        <w:rPr>
          <w:rFonts w:hint="eastAsia" w:ascii="黑体" w:hAnsi="黑体" w:eastAsia="黑体"/>
          <w:sz w:val="28"/>
          <w:szCs w:val="28"/>
        </w:rPr>
        <w:t>：市政务服务局实际产出数量偏差统计</w:t>
      </w:r>
    </w:p>
    <w:tbl>
      <w:tblPr>
        <w:tblStyle w:val="16"/>
        <w:tblW w:w="510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1518"/>
        <w:gridCol w:w="2015"/>
        <w:gridCol w:w="2366"/>
        <w:gridCol w:w="2727"/>
      </w:tblGrid>
      <w:tr w14:paraId="7D69A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blHeader/>
        </w:trPr>
        <w:tc>
          <w:tcPr>
            <w:tcW w:w="335" w:type="pct"/>
            <w:vAlign w:val="center"/>
          </w:tcPr>
          <w:p w14:paraId="77ADF9B0">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序号</w:t>
            </w:r>
          </w:p>
        </w:tc>
        <w:tc>
          <w:tcPr>
            <w:tcW w:w="820" w:type="pct"/>
            <w:vAlign w:val="center"/>
          </w:tcPr>
          <w:p w14:paraId="54FFC62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项目名称</w:t>
            </w:r>
          </w:p>
        </w:tc>
        <w:tc>
          <w:tcPr>
            <w:tcW w:w="1089" w:type="pct"/>
            <w:vAlign w:val="center"/>
          </w:tcPr>
          <w:p w14:paraId="12A7C06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计划产出数量</w:t>
            </w:r>
          </w:p>
        </w:tc>
        <w:tc>
          <w:tcPr>
            <w:tcW w:w="1279" w:type="pct"/>
            <w:vAlign w:val="center"/>
          </w:tcPr>
          <w:p w14:paraId="292F90C6">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实际产出数量</w:t>
            </w:r>
          </w:p>
        </w:tc>
        <w:tc>
          <w:tcPr>
            <w:tcW w:w="1474" w:type="pct"/>
            <w:vAlign w:val="center"/>
          </w:tcPr>
          <w:p w14:paraId="2502CEB8">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偏差原因</w:t>
            </w:r>
          </w:p>
        </w:tc>
      </w:tr>
      <w:tr w14:paraId="28DEB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335" w:type="pct"/>
            <w:vAlign w:val="center"/>
          </w:tcPr>
          <w:p w14:paraId="128D95B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1</w:t>
            </w:r>
          </w:p>
        </w:tc>
        <w:tc>
          <w:tcPr>
            <w:tcW w:w="820" w:type="pct"/>
            <w:vAlign w:val="center"/>
          </w:tcPr>
          <w:p w14:paraId="62C9BB00">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第三方大数据挖掘及评估分析</w:t>
            </w:r>
          </w:p>
        </w:tc>
        <w:tc>
          <w:tcPr>
            <w:tcW w:w="1089" w:type="pct"/>
            <w:vAlign w:val="center"/>
          </w:tcPr>
          <w:p w14:paraId="139C6764">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完成半年评估报告1份</w:t>
            </w:r>
          </w:p>
        </w:tc>
        <w:tc>
          <w:tcPr>
            <w:tcW w:w="1279" w:type="pct"/>
            <w:vAlign w:val="center"/>
          </w:tcPr>
          <w:p w14:paraId="10811744">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实际0份</w:t>
            </w:r>
          </w:p>
        </w:tc>
        <w:tc>
          <w:tcPr>
            <w:tcW w:w="1474" w:type="pct"/>
            <w:vAlign w:val="center"/>
          </w:tcPr>
          <w:p w14:paraId="669C03B5">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lang w:val="en-US" w:eastAsia="zh-CN"/>
              </w:rPr>
              <w:t>用专题报告代替半年评估报告，未及时报请主任办公会审 议调整绩效目标表</w:t>
            </w:r>
          </w:p>
        </w:tc>
      </w:tr>
      <w:tr w14:paraId="7188D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335" w:type="pct"/>
            <w:vAlign w:val="center"/>
          </w:tcPr>
          <w:p w14:paraId="39FE0499">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2</w:t>
            </w:r>
          </w:p>
        </w:tc>
        <w:tc>
          <w:tcPr>
            <w:tcW w:w="820" w:type="pct"/>
            <w:vAlign w:val="center"/>
          </w:tcPr>
          <w:p w14:paraId="4495D5B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12345社情民意播报</w:t>
            </w:r>
          </w:p>
        </w:tc>
        <w:tc>
          <w:tcPr>
            <w:tcW w:w="1089" w:type="pct"/>
            <w:vAlign w:val="center"/>
          </w:tcPr>
          <w:p w14:paraId="641D449D">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12345社情民意播报数量≥210期</w:t>
            </w:r>
          </w:p>
        </w:tc>
        <w:tc>
          <w:tcPr>
            <w:tcW w:w="1279" w:type="pct"/>
            <w:vAlign w:val="center"/>
          </w:tcPr>
          <w:p w14:paraId="603D7F1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实际完成200期</w:t>
            </w:r>
          </w:p>
        </w:tc>
        <w:tc>
          <w:tcPr>
            <w:tcW w:w="1474" w:type="pct"/>
            <w:vAlign w:val="center"/>
          </w:tcPr>
          <w:p w14:paraId="3862D548">
            <w:pPr>
              <w:keepNext w:val="0"/>
              <w:keepLines w:val="0"/>
              <w:suppressLineNumbers w:val="0"/>
              <w:adjustRightInd w:val="0"/>
              <w:snapToGrid w:val="0"/>
              <w:spacing w:before="0" w:beforeAutospacing="0" w:after="0" w:afterAutospacing="0"/>
              <w:ind w:left="-1" w:leftChars="-54" w:right="0" w:hanging="112" w:hangingChars="56"/>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合同服务商</w:t>
            </w:r>
            <w:r>
              <w:rPr>
                <w:rFonts w:hint="eastAsia" w:asciiTheme="minorEastAsia" w:hAnsiTheme="minorEastAsia" w:eastAsiaTheme="minorEastAsia"/>
                <w:color w:val="auto"/>
                <w:sz w:val="20"/>
                <w:szCs w:val="20"/>
              </w:rPr>
              <w:t>因大项宣传任务，节目档期冲突，导致未完成有效期数</w:t>
            </w:r>
            <w:r>
              <w:rPr>
                <w:rFonts w:hint="eastAsia" w:asciiTheme="minorEastAsia" w:hAnsiTheme="minorEastAsia" w:eastAsiaTheme="minorEastAsia"/>
                <w:color w:val="auto"/>
                <w:sz w:val="20"/>
                <w:szCs w:val="20"/>
                <w:lang w:eastAsia="zh-CN"/>
              </w:rPr>
              <w:t>，已按实际工作量据实结算，扣减合同款9523.81元</w:t>
            </w:r>
          </w:p>
        </w:tc>
      </w:tr>
      <w:tr w14:paraId="02134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335" w:type="pct"/>
            <w:vAlign w:val="center"/>
          </w:tcPr>
          <w:p w14:paraId="692CDA8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asciiTheme="minorEastAsia" w:hAnsiTheme="minorEastAsia" w:eastAsiaTheme="minorEastAsia"/>
                <w:color w:val="auto"/>
                <w:sz w:val="20"/>
                <w:szCs w:val="20"/>
              </w:rPr>
              <w:t>3</w:t>
            </w:r>
          </w:p>
        </w:tc>
        <w:tc>
          <w:tcPr>
            <w:tcW w:w="820" w:type="pct"/>
            <w:vAlign w:val="center"/>
          </w:tcPr>
          <w:p w14:paraId="5E4129F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业务办公用品项目</w:t>
            </w:r>
          </w:p>
        </w:tc>
        <w:tc>
          <w:tcPr>
            <w:tcW w:w="1089" w:type="pct"/>
            <w:vAlign w:val="center"/>
          </w:tcPr>
          <w:p w14:paraId="593C6CD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结算次数≥2次</w:t>
            </w:r>
          </w:p>
        </w:tc>
        <w:tc>
          <w:tcPr>
            <w:tcW w:w="1279" w:type="pct"/>
            <w:vAlign w:val="center"/>
          </w:tcPr>
          <w:p w14:paraId="33A42A84">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实际结算1次</w:t>
            </w:r>
          </w:p>
        </w:tc>
        <w:tc>
          <w:tcPr>
            <w:tcW w:w="1474" w:type="pct"/>
            <w:vAlign w:val="center"/>
          </w:tcPr>
          <w:p w14:paraId="6E3D0D06">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依据实际打印需求，在年中进行了预算主动核减，第2次结算资金在基本经费中支出</w:t>
            </w:r>
          </w:p>
        </w:tc>
      </w:tr>
      <w:tr w14:paraId="1594C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7A3EFCF9">
            <w:pPr>
              <w:keepNext w:val="0"/>
              <w:keepLines w:val="0"/>
              <w:suppressLineNumbers w:val="0"/>
              <w:adjustRightInd w:val="0"/>
              <w:snapToGrid w:val="0"/>
              <w:spacing w:before="0" w:beforeAutospacing="0" w:after="0" w:afterAutospacing="0"/>
              <w:ind w:left="0" w:right="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4</w:t>
            </w:r>
          </w:p>
        </w:tc>
        <w:tc>
          <w:tcPr>
            <w:tcW w:w="820" w:type="pct"/>
            <w:vAlign w:val="center"/>
          </w:tcPr>
          <w:p w14:paraId="2CA71559">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短信费</w:t>
            </w:r>
          </w:p>
        </w:tc>
        <w:tc>
          <w:tcPr>
            <w:tcW w:w="1089" w:type="pct"/>
            <w:vAlign w:val="center"/>
          </w:tcPr>
          <w:p w14:paraId="2046AAA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网络渠道下发短信数量≥861.7925万条；验证码下发短信数量≥958.4904万条；短信回访数量≥900万条</w:t>
            </w:r>
          </w:p>
        </w:tc>
        <w:tc>
          <w:tcPr>
            <w:tcW w:w="1279" w:type="pct"/>
            <w:vAlign w:val="center"/>
          </w:tcPr>
          <w:p w14:paraId="0A4950F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实际完成量，网络渠道下发短信数量1.3824万条；验证码下发短信数量52.0048万条；短信回访数量511.8506万条</w:t>
            </w:r>
          </w:p>
        </w:tc>
        <w:tc>
          <w:tcPr>
            <w:tcW w:w="1474" w:type="pct"/>
            <w:vAlign w:val="center"/>
          </w:tcPr>
          <w:p w14:paraId="7897CE5D">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新冠肺炎疫情后，市民通过电话、网络</w:t>
            </w:r>
            <w:r>
              <w:rPr>
                <w:rFonts w:hint="eastAsia" w:asciiTheme="minorEastAsia" w:hAnsiTheme="minorEastAsia" w:eastAsiaTheme="minorEastAsia"/>
                <w:color w:val="auto"/>
                <w:sz w:val="20"/>
                <w:szCs w:val="20"/>
                <w:lang w:eastAsia="zh-CN"/>
              </w:rPr>
              <w:t>途径</w:t>
            </w:r>
            <w:r>
              <w:rPr>
                <w:rFonts w:hint="eastAsia" w:asciiTheme="minorEastAsia" w:hAnsiTheme="minorEastAsia" w:eastAsiaTheme="minorEastAsia"/>
                <w:color w:val="auto"/>
                <w:sz w:val="20"/>
                <w:szCs w:val="20"/>
              </w:rPr>
              <w:t>反映健康宝弹窗问题</w:t>
            </w:r>
            <w:r>
              <w:rPr>
                <w:rFonts w:hint="eastAsia" w:asciiTheme="minorEastAsia" w:hAnsiTheme="minorEastAsia" w:eastAsiaTheme="minorEastAsia"/>
                <w:color w:val="auto"/>
                <w:sz w:val="20"/>
                <w:szCs w:val="20"/>
                <w:lang w:eastAsia="zh-CN"/>
              </w:rPr>
              <w:t>，</w:t>
            </w:r>
            <w:r>
              <w:rPr>
                <w:rFonts w:hint="eastAsia" w:asciiTheme="minorEastAsia" w:hAnsiTheme="minorEastAsia" w:eastAsiaTheme="minorEastAsia"/>
                <w:color w:val="auto"/>
                <w:sz w:val="20"/>
                <w:szCs w:val="20"/>
              </w:rPr>
              <w:t>产生的短信量骤降，相应导致12345微信公众号注册量下降，下发回访短信数量下降</w:t>
            </w:r>
          </w:p>
        </w:tc>
      </w:tr>
      <w:tr w14:paraId="68821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30C012F5">
            <w:pPr>
              <w:keepNext w:val="0"/>
              <w:keepLines w:val="0"/>
              <w:suppressLineNumbers w:val="0"/>
              <w:adjustRightInd w:val="0"/>
              <w:snapToGrid w:val="0"/>
              <w:spacing w:before="0" w:beforeAutospacing="0" w:after="0" w:afterAutospacing="0"/>
              <w:ind w:left="0" w:right="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5</w:t>
            </w:r>
          </w:p>
        </w:tc>
        <w:tc>
          <w:tcPr>
            <w:tcW w:w="820" w:type="pct"/>
            <w:vAlign w:val="center"/>
          </w:tcPr>
          <w:p w14:paraId="17A6836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北京市首贷服务中心综合业务系统项目</w:t>
            </w:r>
          </w:p>
        </w:tc>
        <w:tc>
          <w:tcPr>
            <w:tcW w:w="1089" w:type="pct"/>
            <w:vAlign w:val="center"/>
          </w:tcPr>
          <w:p w14:paraId="69E0EE06">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应用系统功能数量≥31个</w:t>
            </w:r>
          </w:p>
        </w:tc>
        <w:tc>
          <w:tcPr>
            <w:tcW w:w="1279" w:type="pct"/>
            <w:vAlign w:val="center"/>
          </w:tcPr>
          <w:p w14:paraId="7EA96534">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实际开发完成78个</w:t>
            </w:r>
          </w:p>
        </w:tc>
        <w:tc>
          <w:tcPr>
            <w:tcW w:w="1474" w:type="pct"/>
            <w:vAlign w:val="center"/>
          </w:tcPr>
          <w:p w14:paraId="5C2C9CB2">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根据业务需求，不断增加系统功能，与最初测算产生偏差</w:t>
            </w:r>
          </w:p>
        </w:tc>
      </w:tr>
      <w:tr w14:paraId="2E7F9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335" w:type="pct"/>
            <w:vAlign w:val="center"/>
          </w:tcPr>
          <w:p w14:paraId="19C7E4E3">
            <w:pPr>
              <w:keepNext w:val="0"/>
              <w:keepLines w:val="0"/>
              <w:suppressLineNumbers w:val="0"/>
              <w:adjustRightInd w:val="0"/>
              <w:snapToGrid w:val="0"/>
              <w:spacing w:before="0" w:beforeAutospacing="0" w:after="0" w:afterAutospacing="0"/>
              <w:ind w:left="0" w:right="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6</w:t>
            </w:r>
          </w:p>
        </w:tc>
        <w:tc>
          <w:tcPr>
            <w:tcW w:w="820" w:type="pct"/>
            <w:vAlign w:val="center"/>
          </w:tcPr>
          <w:p w14:paraId="41BC5CB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印刷服务</w:t>
            </w:r>
          </w:p>
        </w:tc>
        <w:tc>
          <w:tcPr>
            <w:tcW w:w="1089" w:type="pct"/>
            <w:vAlign w:val="center"/>
          </w:tcPr>
          <w:p w14:paraId="2BFEB73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购置红头纸数量=40000个</w:t>
            </w:r>
          </w:p>
        </w:tc>
        <w:tc>
          <w:tcPr>
            <w:tcW w:w="1279" w:type="pct"/>
            <w:vAlign w:val="center"/>
          </w:tcPr>
          <w:p w14:paraId="38AEE1EF">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实际购置20000个</w:t>
            </w:r>
          </w:p>
        </w:tc>
        <w:tc>
          <w:tcPr>
            <w:tcW w:w="1474" w:type="pct"/>
            <w:vAlign w:val="center"/>
          </w:tcPr>
          <w:p w14:paraId="5F2B100D">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根据工作需要对印制内容进行了调整</w:t>
            </w:r>
          </w:p>
        </w:tc>
      </w:tr>
      <w:tr w14:paraId="19A7B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335" w:type="pct"/>
            <w:vAlign w:val="center"/>
          </w:tcPr>
          <w:p w14:paraId="41B188B5">
            <w:pPr>
              <w:keepNext w:val="0"/>
              <w:keepLines w:val="0"/>
              <w:suppressLineNumbers w:val="0"/>
              <w:adjustRightInd w:val="0"/>
              <w:snapToGrid w:val="0"/>
              <w:spacing w:before="0" w:beforeAutospacing="0" w:after="0" w:afterAutospacing="0"/>
              <w:ind w:left="0" w:right="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7</w:t>
            </w:r>
          </w:p>
        </w:tc>
        <w:tc>
          <w:tcPr>
            <w:tcW w:w="820" w:type="pct"/>
            <w:vAlign w:val="center"/>
          </w:tcPr>
          <w:p w14:paraId="53F3C3C6">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政府信息和政务公开业务培训服务</w:t>
            </w:r>
          </w:p>
        </w:tc>
        <w:tc>
          <w:tcPr>
            <w:tcW w:w="1089" w:type="pct"/>
            <w:vAlign w:val="center"/>
          </w:tcPr>
          <w:p w14:paraId="2C722905">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培训人员≥90人</w:t>
            </w:r>
          </w:p>
        </w:tc>
        <w:tc>
          <w:tcPr>
            <w:tcW w:w="1279" w:type="pct"/>
            <w:vAlign w:val="center"/>
          </w:tcPr>
          <w:p w14:paraId="5A775C7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实际培训人员80人</w:t>
            </w:r>
          </w:p>
        </w:tc>
        <w:tc>
          <w:tcPr>
            <w:tcW w:w="1474" w:type="pct"/>
            <w:vAlign w:val="center"/>
          </w:tcPr>
          <w:p w14:paraId="481FF606">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因部分单位培训人员未按要求参与培训，实际参与培训人员未达预期</w:t>
            </w:r>
          </w:p>
        </w:tc>
      </w:tr>
      <w:tr w14:paraId="32907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278F01AB">
            <w:pPr>
              <w:keepNext w:val="0"/>
              <w:keepLines w:val="0"/>
              <w:suppressLineNumbers w:val="0"/>
              <w:adjustRightInd w:val="0"/>
              <w:snapToGrid w:val="0"/>
              <w:spacing w:before="0" w:beforeAutospacing="0" w:after="0" w:afterAutospacing="0"/>
              <w:ind w:left="0" w:right="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8</w:t>
            </w:r>
          </w:p>
        </w:tc>
        <w:tc>
          <w:tcPr>
            <w:tcW w:w="820" w:type="pct"/>
            <w:vAlign w:val="center"/>
          </w:tcPr>
          <w:p w14:paraId="1899BF6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市政府门户网站（“京策”平台）政策服务功能升级改造项目</w:t>
            </w:r>
          </w:p>
        </w:tc>
        <w:tc>
          <w:tcPr>
            <w:tcW w:w="1089" w:type="pct"/>
            <w:vAlign w:val="center"/>
          </w:tcPr>
          <w:p w14:paraId="01F4360F">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新建功能数量（政策测算、政策推送、政策兑现、政策评估等）≥4个</w:t>
            </w:r>
          </w:p>
        </w:tc>
        <w:tc>
          <w:tcPr>
            <w:tcW w:w="1279" w:type="pct"/>
            <w:vAlign w:val="center"/>
          </w:tcPr>
          <w:p w14:paraId="7D81F13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实际新建功能数量1个</w:t>
            </w:r>
          </w:p>
        </w:tc>
        <w:tc>
          <w:tcPr>
            <w:tcW w:w="1474" w:type="pct"/>
            <w:vAlign w:val="center"/>
          </w:tcPr>
          <w:p w14:paraId="38123EEE">
            <w:pPr>
              <w:keepNext w:val="0"/>
              <w:keepLines w:val="0"/>
              <w:suppressLineNumbers w:val="0"/>
              <w:adjustRightInd w:val="0"/>
              <w:snapToGrid w:val="0"/>
              <w:spacing w:before="0" w:beforeAutospacing="0" w:after="0" w:afterAutospacing="0"/>
              <w:ind w:left="-1" w:leftChars="-54" w:right="0" w:hanging="112" w:hangingChars="56"/>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年中追加项目，因前期评审程序较长，截至评价节点，项目仍未执行完成</w:t>
            </w:r>
          </w:p>
        </w:tc>
      </w:tr>
      <w:tr w14:paraId="647CF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6F774DB6">
            <w:pPr>
              <w:keepNext w:val="0"/>
              <w:keepLines w:val="0"/>
              <w:suppressLineNumbers w:val="0"/>
              <w:adjustRightInd w:val="0"/>
              <w:snapToGrid w:val="0"/>
              <w:spacing w:before="0" w:beforeAutospacing="0" w:after="0" w:afterAutospacing="0"/>
              <w:ind w:left="0" w:right="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9</w:t>
            </w:r>
          </w:p>
        </w:tc>
        <w:tc>
          <w:tcPr>
            <w:tcW w:w="820" w:type="pct"/>
            <w:vAlign w:val="center"/>
          </w:tcPr>
          <w:p w14:paraId="5560D040">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北京市政府信息和政务公开工作第三方评估服务</w:t>
            </w:r>
          </w:p>
        </w:tc>
        <w:tc>
          <w:tcPr>
            <w:tcW w:w="1089" w:type="pct"/>
            <w:vAlign w:val="center"/>
          </w:tcPr>
          <w:p w14:paraId="6D398E8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评估覆盖市级部门＝54个</w:t>
            </w:r>
          </w:p>
        </w:tc>
        <w:tc>
          <w:tcPr>
            <w:tcW w:w="1279" w:type="pct"/>
            <w:vAlign w:val="center"/>
          </w:tcPr>
          <w:p w14:paraId="7DBD89FD">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实际覆盖52个</w:t>
            </w:r>
          </w:p>
        </w:tc>
        <w:tc>
          <w:tcPr>
            <w:tcW w:w="1474" w:type="pct"/>
            <w:vAlign w:val="center"/>
          </w:tcPr>
          <w:p w14:paraId="71EAAC12">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因市气象局与市税务局属于垂管单位，故不再将两家单位纳入评估范围</w:t>
            </w:r>
          </w:p>
        </w:tc>
      </w:tr>
      <w:tr w14:paraId="0389B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10460F5A">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10</w:t>
            </w:r>
          </w:p>
        </w:tc>
        <w:tc>
          <w:tcPr>
            <w:tcW w:w="820" w:type="pct"/>
            <w:vAlign w:val="center"/>
          </w:tcPr>
          <w:p w14:paraId="2AD37A7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首都国际化网上服务品牌和能力提升服务</w:t>
            </w:r>
          </w:p>
        </w:tc>
        <w:tc>
          <w:tcPr>
            <w:tcW w:w="1089" w:type="pct"/>
            <w:vAlign w:val="center"/>
          </w:tcPr>
          <w:p w14:paraId="6405443F">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咨询成果数量≥10个</w:t>
            </w:r>
          </w:p>
        </w:tc>
        <w:tc>
          <w:tcPr>
            <w:tcW w:w="1279" w:type="pct"/>
            <w:vAlign w:val="center"/>
          </w:tcPr>
          <w:p w14:paraId="240CB8E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实际暂未形成相应成果</w:t>
            </w:r>
          </w:p>
        </w:tc>
        <w:tc>
          <w:tcPr>
            <w:tcW w:w="1474" w:type="pct"/>
            <w:vAlign w:val="center"/>
          </w:tcPr>
          <w:p w14:paraId="497A0C19">
            <w:pPr>
              <w:keepNext w:val="0"/>
              <w:keepLines w:val="0"/>
              <w:suppressLineNumbers w:val="0"/>
              <w:adjustRightInd w:val="0"/>
              <w:snapToGrid w:val="0"/>
              <w:spacing w:before="0" w:beforeAutospacing="0" w:after="0" w:afterAutospacing="0"/>
              <w:ind w:left="-1" w:leftChars="-54" w:right="0" w:hanging="112" w:hangingChars="56"/>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rPr>
              <w:t>年中追加项目，</w:t>
            </w:r>
            <w:r>
              <w:rPr>
                <w:rFonts w:hint="eastAsia" w:asciiTheme="minorEastAsia" w:hAnsiTheme="minorEastAsia" w:eastAsiaTheme="minorEastAsia"/>
                <w:color w:val="auto"/>
                <w:sz w:val="20"/>
                <w:szCs w:val="20"/>
                <w:lang w:val="en-US" w:eastAsia="zh-CN"/>
              </w:rPr>
              <w:t>因前期评审程序较长，</w:t>
            </w:r>
            <w:r>
              <w:rPr>
                <w:rFonts w:hint="eastAsia" w:asciiTheme="minorEastAsia" w:hAnsiTheme="minorEastAsia" w:eastAsiaTheme="minorEastAsia"/>
                <w:color w:val="auto"/>
                <w:sz w:val="20"/>
                <w:szCs w:val="20"/>
              </w:rPr>
              <w:t>合同于2024年2月29日签订生效，</w:t>
            </w:r>
            <w:r>
              <w:rPr>
                <w:rFonts w:hint="eastAsia" w:asciiTheme="minorEastAsia" w:hAnsiTheme="minorEastAsia" w:eastAsiaTheme="minorEastAsia"/>
                <w:color w:val="auto"/>
                <w:sz w:val="20"/>
                <w:szCs w:val="20"/>
                <w:lang w:val="en-US" w:eastAsia="zh-CN"/>
              </w:rPr>
              <w:t>截至评价节点，项目仍未执行完成</w:t>
            </w:r>
          </w:p>
        </w:tc>
      </w:tr>
      <w:tr w14:paraId="730AE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68B26BAF">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11</w:t>
            </w:r>
          </w:p>
        </w:tc>
        <w:tc>
          <w:tcPr>
            <w:tcW w:w="820" w:type="pct"/>
            <w:vAlign w:val="center"/>
          </w:tcPr>
          <w:p w14:paraId="65CAD72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北京市政府国际版门户网站葡萄牙语版运营服务</w:t>
            </w:r>
          </w:p>
        </w:tc>
        <w:tc>
          <w:tcPr>
            <w:tcW w:w="1089" w:type="pct"/>
            <w:vAlign w:val="center"/>
          </w:tcPr>
          <w:p w14:paraId="191CB520">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翻译量≥65万字；运营板块专栏专题数量≥8个</w:t>
            </w:r>
          </w:p>
        </w:tc>
        <w:tc>
          <w:tcPr>
            <w:tcW w:w="1279" w:type="pct"/>
            <w:vAlign w:val="center"/>
          </w:tcPr>
          <w:p w14:paraId="49DD3023">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实际完成翻译量55万字；运营板块专栏专题数量7个</w:t>
            </w:r>
          </w:p>
        </w:tc>
        <w:tc>
          <w:tcPr>
            <w:tcW w:w="1474" w:type="pct"/>
            <w:vAlign w:val="center"/>
          </w:tcPr>
          <w:p w14:paraId="7C08123C">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lang w:val="en-US" w:eastAsia="zh-CN"/>
              </w:rPr>
              <w:t>年中追加项目，因前期程序较长，</w:t>
            </w:r>
            <w:r>
              <w:rPr>
                <w:rFonts w:hint="eastAsia" w:asciiTheme="minorEastAsia" w:hAnsiTheme="minorEastAsia" w:eastAsiaTheme="minorEastAsia"/>
                <w:color w:val="auto"/>
                <w:sz w:val="20"/>
                <w:szCs w:val="20"/>
              </w:rPr>
              <w:t>2024年1月23日签订合同，周期为2024年1月至9月，翻译工作正常推进，待项目周期截止前完成全部翻译量指标</w:t>
            </w:r>
          </w:p>
        </w:tc>
      </w:tr>
      <w:tr w14:paraId="37ABC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239EB763">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12</w:t>
            </w:r>
          </w:p>
        </w:tc>
        <w:tc>
          <w:tcPr>
            <w:tcW w:w="820" w:type="pct"/>
            <w:vAlign w:val="center"/>
          </w:tcPr>
          <w:p w14:paraId="322B6FB5">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数字服务平台升级改造</w:t>
            </w:r>
          </w:p>
        </w:tc>
        <w:tc>
          <w:tcPr>
            <w:tcW w:w="1089" w:type="pct"/>
            <w:vAlign w:val="center"/>
          </w:tcPr>
          <w:p w14:paraId="0E3E6133">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新建应用系统数量≥3个（统一用户空间系统、统一政务投诉建议系统等）</w:t>
            </w:r>
          </w:p>
        </w:tc>
        <w:tc>
          <w:tcPr>
            <w:tcW w:w="1279" w:type="pct"/>
            <w:vAlign w:val="center"/>
          </w:tcPr>
          <w:p w14:paraId="79A76B4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5个（数字化运营管理系统、统一申办受理平台、政务服务导办系统、统一电子档案系统、统一用户空间）</w:t>
            </w:r>
          </w:p>
        </w:tc>
        <w:tc>
          <w:tcPr>
            <w:tcW w:w="1474" w:type="pct"/>
            <w:vAlign w:val="center"/>
          </w:tcPr>
          <w:p w14:paraId="4B660C1D">
            <w:pPr>
              <w:keepNext w:val="0"/>
              <w:keepLines w:val="0"/>
              <w:suppressLineNumbers w:val="0"/>
              <w:adjustRightInd w:val="0"/>
              <w:snapToGrid w:val="0"/>
              <w:spacing w:before="0" w:beforeAutospacing="0" w:after="0" w:afterAutospacing="0"/>
              <w:ind w:left="-1" w:leftChars="-54" w:right="0" w:hanging="112" w:hangingChars="56"/>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rPr>
              <w:t>因前期技评和财评时间周期较长，合同签订时间较晚，原定计划政务投诉建议系统未能在23年度建设完成</w:t>
            </w:r>
            <w:r>
              <w:rPr>
                <w:rFonts w:hint="eastAsia" w:asciiTheme="minorEastAsia" w:hAnsiTheme="minorEastAsia" w:eastAsiaTheme="minorEastAsia"/>
                <w:color w:val="auto"/>
                <w:sz w:val="20"/>
                <w:szCs w:val="20"/>
                <w:lang w:eastAsia="zh-CN"/>
              </w:rPr>
              <w:t>（</w:t>
            </w:r>
            <w:r>
              <w:rPr>
                <w:rFonts w:hint="eastAsia" w:asciiTheme="minorEastAsia" w:hAnsiTheme="minorEastAsia" w:eastAsiaTheme="minorEastAsia"/>
                <w:color w:val="auto"/>
                <w:sz w:val="20"/>
                <w:szCs w:val="20"/>
                <w:lang w:val="en-US" w:eastAsia="zh-CN"/>
              </w:rPr>
              <w:t>年度建设内容有偏差</w:t>
            </w:r>
            <w:r>
              <w:rPr>
                <w:rFonts w:hint="eastAsia" w:asciiTheme="minorEastAsia" w:hAnsiTheme="minorEastAsia" w:eastAsiaTheme="minorEastAsia"/>
                <w:color w:val="auto"/>
                <w:sz w:val="20"/>
                <w:szCs w:val="20"/>
                <w:lang w:eastAsia="zh-CN"/>
              </w:rPr>
              <w:t>）</w:t>
            </w:r>
          </w:p>
        </w:tc>
      </w:tr>
      <w:tr w14:paraId="14B06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06390463">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13</w:t>
            </w:r>
          </w:p>
        </w:tc>
        <w:tc>
          <w:tcPr>
            <w:tcW w:w="820" w:type="pct"/>
            <w:vAlign w:val="center"/>
          </w:tcPr>
          <w:p w14:paraId="7BD7BA1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数字服务平台运营服务</w:t>
            </w:r>
          </w:p>
        </w:tc>
        <w:tc>
          <w:tcPr>
            <w:tcW w:w="1089" w:type="pct"/>
            <w:vAlign w:val="center"/>
          </w:tcPr>
          <w:p w14:paraId="093D05D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北京市政务服务网“一件事”专区挂链“一件事”入驻交付数量≥3个；运营推广活动≥2次</w:t>
            </w:r>
          </w:p>
        </w:tc>
        <w:tc>
          <w:tcPr>
            <w:tcW w:w="1279" w:type="pct"/>
            <w:vAlign w:val="center"/>
          </w:tcPr>
          <w:p w14:paraId="3C7FE645">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实际完成北京市政务服务网“一件事”专区挂链“一件事”入驻交付数量10个；实际运营推广活动0次</w:t>
            </w:r>
          </w:p>
        </w:tc>
        <w:tc>
          <w:tcPr>
            <w:tcW w:w="1474" w:type="pct"/>
            <w:vAlign w:val="center"/>
          </w:tcPr>
          <w:p w14:paraId="78C338B8">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基于实际需求变更，项目交付数量增加；待推广的产品正在按计划开发中，活动正在推进中，运营推广活动暂未完全开展完成</w:t>
            </w:r>
          </w:p>
        </w:tc>
      </w:tr>
      <w:tr w14:paraId="706F6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7D98E476">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14</w:t>
            </w:r>
          </w:p>
        </w:tc>
        <w:tc>
          <w:tcPr>
            <w:tcW w:w="820" w:type="pct"/>
            <w:vAlign w:val="center"/>
          </w:tcPr>
          <w:p w14:paraId="3B07E433">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北京市行政许可事项清单动态评估监测服务</w:t>
            </w:r>
          </w:p>
        </w:tc>
        <w:tc>
          <w:tcPr>
            <w:tcW w:w="1089" w:type="pct"/>
            <w:vAlign w:val="center"/>
          </w:tcPr>
          <w:p w14:paraId="39680D43">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评估行政许可主项、子项、办事项实施规范数量668项</w:t>
            </w:r>
          </w:p>
        </w:tc>
        <w:tc>
          <w:tcPr>
            <w:tcW w:w="1279" w:type="pct"/>
            <w:vAlign w:val="center"/>
          </w:tcPr>
          <w:p w14:paraId="7029980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实际产出651项</w:t>
            </w:r>
          </w:p>
        </w:tc>
        <w:tc>
          <w:tcPr>
            <w:tcW w:w="1474" w:type="pct"/>
            <w:vAlign w:val="center"/>
          </w:tcPr>
          <w:p w14:paraId="34191B11">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许可清单按年度动态调整，市政府办公厅2023年10月17日公布的《北京市行政许可事项清单（2023年版）》为651项，2022年为668项</w:t>
            </w:r>
          </w:p>
        </w:tc>
      </w:tr>
      <w:tr w14:paraId="571DE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0F96422E">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15</w:t>
            </w:r>
          </w:p>
        </w:tc>
        <w:tc>
          <w:tcPr>
            <w:tcW w:w="820" w:type="pct"/>
            <w:vAlign w:val="center"/>
          </w:tcPr>
          <w:p w14:paraId="18CD420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市政务服务中心疫情防控专项经费</w:t>
            </w:r>
          </w:p>
        </w:tc>
        <w:tc>
          <w:tcPr>
            <w:tcW w:w="1089" w:type="pct"/>
            <w:vAlign w:val="center"/>
          </w:tcPr>
          <w:p w14:paraId="6CEC25B8">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防疫物资保障人员数量275人</w:t>
            </w:r>
          </w:p>
        </w:tc>
        <w:tc>
          <w:tcPr>
            <w:tcW w:w="1279" w:type="pct"/>
            <w:vAlign w:val="center"/>
          </w:tcPr>
          <w:p w14:paraId="078553D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实际保障2</w:t>
            </w:r>
            <w:r>
              <w:rPr>
                <w:rFonts w:asciiTheme="minorEastAsia" w:hAnsiTheme="minorEastAsia" w:eastAsiaTheme="minorEastAsia"/>
                <w:color w:val="auto"/>
                <w:sz w:val="20"/>
                <w:szCs w:val="20"/>
              </w:rPr>
              <w:t>71</w:t>
            </w:r>
            <w:r>
              <w:rPr>
                <w:rFonts w:hint="eastAsia" w:asciiTheme="minorEastAsia" w:hAnsiTheme="minorEastAsia" w:eastAsiaTheme="minorEastAsia"/>
                <w:color w:val="auto"/>
                <w:sz w:val="20"/>
                <w:szCs w:val="20"/>
              </w:rPr>
              <w:t>人</w:t>
            </w:r>
          </w:p>
        </w:tc>
        <w:tc>
          <w:tcPr>
            <w:tcW w:w="1474" w:type="pct"/>
            <w:vAlign w:val="center"/>
          </w:tcPr>
          <w:p w14:paraId="3A17D637">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根据实际情况保障271人防疫物资</w:t>
            </w:r>
          </w:p>
        </w:tc>
      </w:tr>
      <w:tr w14:paraId="55586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61B34100">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16</w:t>
            </w:r>
          </w:p>
        </w:tc>
        <w:tc>
          <w:tcPr>
            <w:tcW w:w="820" w:type="pct"/>
            <w:vAlign w:val="center"/>
          </w:tcPr>
          <w:p w14:paraId="02AB512D">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市政务服务中心6家市政公用企业后勤综合服务保障费</w:t>
            </w:r>
          </w:p>
        </w:tc>
        <w:tc>
          <w:tcPr>
            <w:tcW w:w="1089" w:type="pct"/>
            <w:vAlign w:val="center"/>
          </w:tcPr>
          <w:p w14:paraId="0D246F94">
            <w:pPr>
              <w:keepNext w:val="0"/>
              <w:keepLines w:val="0"/>
              <w:suppressLineNumbers w:val="0"/>
              <w:adjustRightInd w:val="0"/>
              <w:snapToGrid w:val="0"/>
              <w:spacing w:before="0" w:beforeAutospacing="0" w:after="0" w:afterAutospacing="0"/>
              <w:ind w:left="0" w:right="0" w:firstLine="40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6家市政公用企业就餐补助人员数量≥20人</w:t>
            </w:r>
          </w:p>
        </w:tc>
        <w:tc>
          <w:tcPr>
            <w:tcW w:w="1279" w:type="pct"/>
            <w:vAlign w:val="center"/>
          </w:tcPr>
          <w:p w14:paraId="679B115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实际补助1</w:t>
            </w:r>
            <w:r>
              <w:rPr>
                <w:rFonts w:asciiTheme="minorEastAsia" w:hAnsiTheme="minorEastAsia" w:eastAsiaTheme="minorEastAsia"/>
                <w:color w:val="auto"/>
                <w:sz w:val="20"/>
                <w:szCs w:val="20"/>
              </w:rPr>
              <w:t>6</w:t>
            </w:r>
            <w:r>
              <w:rPr>
                <w:rFonts w:hint="eastAsia" w:asciiTheme="minorEastAsia" w:hAnsiTheme="minorEastAsia" w:eastAsiaTheme="minorEastAsia"/>
                <w:color w:val="auto"/>
                <w:sz w:val="20"/>
                <w:szCs w:val="20"/>
              </w:rPr>
              <w:t>人</w:t>
            </w:r>
          </w:p>
        </w:tc>
        <w:tc>
          <w:tcPr>
            <w:tcW w:w="1474" w:type="pct"/>
            <w:vAlign w:val="center"/>
          </w:tcPr>
          <w:p w14:paraId="73EF7D71">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根据6家市政公用企业每月实际工作人员数量进行支付</w:t>
            </w:r>
          </w:p>
        </w:tc>
      </w:tr>
      <w:tr w14:paraId="676D1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1D91B10E">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17</w:t>
            </w:r>
          </w:p>
        </w:tc>
        <w:tc>
          <w:tcPr>
            <w:tcW w:w="820" w:type="pct"/>
            <w:vAlign w:val="center"/>
          </w:tcPr>
          <w:p w14:paraId="71D25E7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市政务服务中心6家市政公用企业办公经费</w:t>
            </w:r>
          </w:p>
        </w:tc>
        <w:tc>
          <w:tcPr>
            <w:tcW w:w="1089" w:type="pct"/>
            <w:vAlign w:val="center"/>
          </w:tcPr>
          <w:p w14:paraId="56464442">
            <w:pPr>
              <w:keepNext w:val="0"/>
              <w:keepLines w:val="0"/>
              <w:suppressLineNumbers w:val="0"/>
              <w:adjustRightInd w:val="0"/>
              <w:snapToGrid w:val="0"/>
              <w:spacing w:before="0" w:beforeAutospacing="0" w:after="0" w:afterAutospacing="0"/>
              <w:ind w:left="0" w:right="0" w:firstLine="40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6家市政公用企业办公经费人员数量≥20人</w:t>
            </w:r>
          </w:p>
        </w:tc>
        <w:tc>
          <w:tcPr>
            <w:tcW w:w="1279" w:type="pct"/>
            <w:vAlign w:val="center"/>
          </w:tcPr>
          <w:p w14:paraId="6798C069">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实际保障1</w:t>
            </w:r>
            <w:r>
              <w:rPr>
                <w:rFonts w:asciiTheme="minorEastAsia" w:hAnsiTheme="minorEastAsia" w:eastAsiaTheme="minorEastAsia"/>
                <w:color w:val="auto"/>
                <w:sz w:val="20"/>
                <w:szCs w:val="20"/>
              </w:rPr>
              <w:t>6</w:t>
            </w:r>
            <w:r>
              <w:rPr>
                <w:rFonts w:hint="eastAsia" w:asciiTheme="minorEastAsia" w:hAnsiTheme="minorEastAsia" w:eastAsiaTheme="minorEastAsia"/>
                <w:color w:val="auto"/>
                <w:sz w:val="20"/>
                <w:szCs w:val="20"/>
              </w:rPr>
              <w:t>人</w:t>
            </w:r>
          </w:p>
        </w:tc>
        <w:tc>
          <w:tcPr>
            <w:tcW w:w="1474" w:type="pct"/>
            <w:vAlign w:val="center"/>
          </w:tcPr>
          <w:p w14:paraId="1194EDAC">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根据6家市政公用企业每月实际工作人员数量进行支付</w:t>
            </w:r>
          </w:p>
        </w:tc>
      </w:tr>
      <w:tr w14:paraId="2DBE8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2BFC9C87">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18</w:t>
            </w:r>
          </w:p>
        </w:tc>
        <w:tc>
          <w:tcPr>
            <w:tcW w:w="820" w:type="pct"/>
            <w:vAlign w:val="center"/>
          </w:tcPr>
          <w:p w14:paraId="7DF73B7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市政务服务中心综合保障服务</w:t>
            </w:r>
          </w:p>
        </w:tc>
        <w:tc>
          <w:tcPr>
            <w:tcW w:w="1089" w:type="pct"/>
            <w:vAlign w:val="center"/>
          </w:tcPr>
          <w:p w14:paraId="4EEFA530">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刻制印章套数5</w:t>
            </w:r>
            <w:r>
              <w:rPr>
                <w:rFonts w:asciiTheme="minorEastAsia" w:hAnsiTheme="minorEastAsia" w:eastAsiaTheme="minorEastAsia"/>
                <w:color w:val="auto"/>
                <w:sz w:val="20"/>
                <w:szCs w:val="20"/>
              </w:rPr>
              <w:t>0</w:t>
            </w:r>
            <w:r>
              <w:rPr>
                <w:rFonts w:hint="eastAsia" w:asciiTheme="minorEastAsia" w:hAnsiTheme="minorEastAsia" w:eastAsiaTheme="minorEastAsia"/>
                <w:color w:val="auto"/>
                <w:sz w:val="20"/>
                <w:szCs w:val="20"/>
              </w:rPr>
              <w:t>套</w:t>
            </w:r>
          </w:p>
        </w:tc>
        <w:tc>
          <w:tcPr>
            <w:tcW w:w="1279" w:type="pct"/>
            <w:vAlign w:val="center"/>
          </w:tcPr>
          <w:p w14:paraId="49721400">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实际完成1</w:t>
            </w:r>
            <w:r>
              <w:rPr>
                <w:rFonts w:asciiTheme="minorEastAsia" w:hAnsiTheme="minorEastAsia" w:eastAsiaTheme="minorEastAsia"/>
                <w:color w:val="auto"/>
                <w:sz w:val="20"/>
                <w:szCs w:val="20"/>
              </w:rPr>
              <w:t>8</w:t>
            </w:r>
            <w:r>
              <w:rPr>
                <w:rFonts w:hint="eastAsia" w:asciiTheme="minorEastAsia" w:hAnsiTheme="minorEastAsia" w:eastAsiaTheme="minorEastAsia"/>
                <w:color w:val="auto"/>
                <w:sz w:val="20"/>
                <w:szCs w:val="20"/>
              </w:rPr>
              <w:t>套印刷</w:t>
            </w:r>
          </w:p>
        </w:tc>
        <w:tc>
          <w:tcPr>
            <w:tcW w:w="1474" w:type="pct"/>
            <w:vAlign w:val="center"/>
          </w:tcPr>
          <w:p w14:paraId="532B5E57">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一是市政务服务中心企业开办的市场主体规格高，属于重点企业。二是近年来，按照京津冀一体化</w:t>
            </w:r>
            <w:r>
              <w:rPr>
                <w:rFonts w:hint="eastAsia" w:asciiTheme="minorEastAsia" w:hAnsiTheme="minorEastAsia" w:eastAsiaTheme="minorEastAsia"/>
                <w:color w:val="auto"/>
                <w:sz w:val="20"/>
                <w:szCs w:val="20"/>
                <w:lang w:val="en-US" w:eastAsia="zh-CN"/>
              </w:rPr>
              <w:t>部署</w:t>
            </w:r>
            <w:r>
              <w:rPr>
                <w:rFonts w:hint="eastAsia" w:asciiTheme="minorEastAsia" w:hAnsiTheme="minorEastAsia" w:eastAsiaTheme="minorEastAsia"/>
                <w:color w:val="auto"/>
                <w:sz w:val="20"/>
                <w:szCs w:val="20"/>
              </w:rPr>
              <w:t>，部分央企陆续搬迁雄安、市属企业稳步向通州</w:t>
            </w:r>
            <w:r>
              <w:rPr>
                <w:rFonts w:hint="eastAsia" w:asciiTheme="minorEastAsia" w:hAnsiTheme="minorEastAsia" w:eastAsiaTheme="minorEastAsia"/>
                <w:color w:val="auto"/>
                <w:sz w:val="20"/>
                <w:szCs w:val="20"/>
                <w:lang w:eastAsia="zh-CN"/>
              </w:rPr>
              <w:t>疏</w:t>
            </w:r>
            <w:r>
              <w:rPr>
                <w:rFonts w:hint="eastAsia" w:asciiTheme="minorEastAsia" w:hAnsiTheme="minorEastAsia" w:eastAsiaTheme="minorEastAsia"/>
                <w:color w:val="auto"/>
                <w:sz w:val="20"/>
                <w:szCs w:val="20"/>
              </w:rPr>
              <w:t>解。三是为优化营商环境，便利服务企业，按照市市场监管局业务政策，“由市市场监管部门登记但住所位于通州区的企业，可到北京城市副中心市级企业登记服务平台办理登记业务”</w:t>
            </w:r>
          </w:p>
        </w:tc>
      </w:tr>
      <w:tr w14:paraId="4A764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22C7166C">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19</w:t>
            </w:r>
          </w:p>
        </w:tc>
        <w:tc>
          <w:tcPr>
            <w:tcW w:w="820" w:type="pct"/>
            <w:vAlign w:val="center"/>
          </w:tcPr>
          <w:p w14:paraId="1F648EB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北京市政务服务监督检查和效能促进平台</w:t>
            </w:r>
          </w:p>
        </w:tc>
        <w:tc>
          <w:tcPr>
            <w:tcW w:w="1089" w:type="pct"/>
            <w:vAlign w:val="center"/>
          </w:tcPr>
          <w:p w14:paraId="6ABEF798">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操作系统1</w:t>
            </w:r>
            <w:r>
              <w:rPr>
                <w:rFonts w:asciiTheme="minorEastAsia" w:hAnsiTheme="minorEastAsia" w:eastAsiaTheme="minorEastAsia"/>
                <w:color w:val="auto"/>
                <w:sz w:val="20"/>
                <w:szCs w:val="20"/>
              </w:rPr>
              <w:t>7</w:t>
            </w:r>
            <w:r>
              <w:rPr>
                <w:rFonts w:hint="eastAsia" w:asciiTheme="minorEastAsia" w:hAnsiTheme="minorEastAsia" w:eastAsiaTheme="minorEastAsia"/>
                <w:color w:val="auto"/>
                <w:sz w:val="20"/>
                <w:szCs w:val="20"/>
              </w:rPr>
              <w:t>套</w:t>
            </w:r>
          </w:p>
        </w:tc>
        <w:tc>
          <w:tcPr>
            <w:tcW w:w="1279" w:type="pct"/>
            <w:vAlign w:val="center"/>
          </w:tcPr>
          <w:p w14:paraId="7B9DF86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实际操作系统6套</w:t>
            </w:r>
          </w:p>
        </w:tc>
        <w:tc>
          <w:tcPr>
            <w:tcW w:w="1474" w:type="pct"/>
            <w:vAlign w:val="center"/>
          </w:tcPr>
          <w:p w14:paraId="71FE9133">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项目变更减少11套操作系统，根据实际需求完成项目变更，并签订补充协议</w:t>
            </w:r>
          </w:p>
        </w:tc>
      </w:tr>
      <w:tr w14:paraId="02F22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7D8F2B07">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20</w:t>
            </w:r>
          </w:p>
        </w:tc>
        <w:tc>
          <w:tcPr>
            <w:tcW w:w="820" w:type="pct"/>
            <w:vAlign w:val="center"/>
          </w:tcPr>
          <w:p w14:paraId="3B4F76C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驻京机构信息管理系统信息服务项目</w:t>
            </w:r>
          </w:p>
        </w:tc>
        <w:tc>
          <w:tcPr>
            <w:tcW w:w="1089" w:type="pct"/>
            <w:vAlign w:val="center"/>
          </w:tcPr>
          <w:p w14:paraId="62412FB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政策解读分析报告报送期数≥40期</w:t>
            </w:r>
          </w:p>
        </w:tc>
        <w:tc>
          <w:tcPr>
            <w:tcW w:w="1279" w:type="pct"/>
            <w:vAlign w:val="center"/>
          </w:tcPr>
          <w:p w14:paraId="4DF03F19">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实际完成26期</w:t>
            </w:r>
          </w:p>
        </w:tc>
        <w:tc>
          <w:tcPr>
            <w:tcW w:w="1474" w:type="pct"/>
            <w:vAlign w:val="center"/>
          </w:tcPr>
          <w:p w14:paraId="03E3B072">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因北京市驻京机构信息管理系统将进行升级改造，信息服务模式也将进行相应调整，9月2022年度合同验收后暂不再提供驻京机构信息管理系统信息服务</w:t>
            </w:r>
          </w:p>
        </w:tc>
      </w:tr>
      <w:tr w14:paraId="39EF9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54D08C73">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21</w:t>
            </w:r>
          </w:p>
        </w:tc>
        <w:tc>
          <w:tcPr>
            <w:tcW w:w="820" w:type="pct"/>
            <w:vAlign w:val="center"/>
          </w:tcPr>
          <w:p w14:paraId="79F5EB01">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市政府重大决策部署新媒体解读服务</w:t>
            </w:r>
          </w:p>
        </w:tc>
        <w:tc>
          <w:tcPr>
            <w:tcW w:w="1089" w:type="pct"/>
            <w:vAlign w:val="center"/>
          </w:tcPr>
          <w:p w14:paraId="63107C11">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四格漫画数量6个</w:t>
            </w:r>
          </w:p>
        </w:tc>
        <w:tc>
          <w:tcPr>
            <w:tcW w:w="1279" w:type="pct"/>
            <w:vAlign w:val="center"/>
          </w:tcPr>
          <w:p w14:paraId="57912CC1">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实际完成0个</w:t>
            </w:r>
          </w:p>
        </w:tc>
        <w:tc>
          <w:tcPr>
            <w:tcW w:w="1474" w:type="pct"/>
            <w:vAlign w:val="center"/>
          </w:tcPr>
          <w:p w14:paraId="3194F951">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按照市政府重点工作时间部署，未达到宣传时机</w:t>
            </w:r>
          </w:p>
        </w:tc>
      </w:tr>
      <w:tr w14:paraId="68BBB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230F33EB">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22</w:t>
            </w:r>
          </w:p>
        </w:tc>
        <w:tc>
          <w:tcPr>
            <w:tcW w:w="820" w:type="pct"/>
            <w:vAlign w:val="center"/>
          </w:tcPr>
          <w:p w14:paraId="37C2218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市政务服务工作解读服务</w:t>
            </w:r>
          </w:p>
        </w:tc>
        <w:tc>
          <w:tcPr>
            <w:tcW w:w="1089" w:type="pct"/>
            <w:vAlign w:val="center"/>
          </w:tcPr>
          <w:p w14:paraId="3488CF26">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在新媒体平台上，制作并刊发宣传长图或视频产品2个</w:t>
            </w:r>
          </w:p>
        </w:tc>
        <w:tc>
          <w:tcPr>
            <w:tcW w:w="1279" w:type="pct"/>
            <w:vAlign w:val="center"/>
          </w:tcPr>
          <w:p w14:paraId="31D90BCF">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实际完成1个</w:t>
            </w:r>
          </w:p>
        </w:tc>
        <w:tc>
          <w:tcPr>
            <w:tcW w:w="1474" w:type="pct"/>
            <w:vAlign w:val="center"/>
          </w:tcPr>
          <w:p w14:paraId="6A380986">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按照市政府重点工作时间部署，未达到宣传时机</w:t>
            </w:r>
          </w:p>
        </w:tc>
      </w:tr>
      <w:tr w14:paraId="6D290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335" w:type="pct"/>
            <w:vAlign w:val="center"/>
          </w:tcPr>
          <w:p w14:paraId="3E9C241B">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23</w:t>
            </w:r>
          </w:p>
        </w:tc>
        <w:tc>
          <w:tcPr>
            <w:tcW w:w="820" w:type="pct"/>
            <w:vAlign w:val="center"/>
          </w:tcPr>
          <w:p w14:paraId="79D3B448">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政策性文件公开发布与解读舆情监测分析</w:t>
            </w:r>
          </w:p>
        </w:tc>
        <w:tc>
          <w:tcPr>
            <w:tcW w:w="1089" w:type="pct"/>
            <w:vAlign w:val="center"/>
          </w:tcPr>
          <w:p w14:paraId="43C2FCC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舆情监测分析月报1</w:t>
            </w:r>
            <w:r>
              <w:rPr>
                <w:rFonts w:asciiTheme="minorEastAsia" w:hAnsiTheme="minorEastAsia" w:eastAsiaTheme="minorEastAsia"/>
                <w:color w:val="auto"/>
                <w:sz w:val="20"/>
                <w:szCs w:val="20"/>
              </w:rPr>
              <w:t>2</w:t>
            </w:r>
            <w:r>
              <w:rPr>
                <w:rFonts w:hint="eastAsia" w:asciiTheme="minorEastAsia" w:hAnsiTheme="minorEastAsia" w:eastAsiaTheme="minorEastAsia"/>
                <w:color w:val="auto"/>
                <w:sz w:val="20"/>
                <w:szCs w:val="20"/>
              </w:rPr>
              <w:t>期；舆情监测分析专报6期；政策性文件舆情监测专题设置5</w:t>
            </w:r>
            <w:r>
              <w:rPr>
                <w:rFonts w:asciiTheme="minorEastAsia" w:hAnsiTheme="minorEastAsia" w:eastAsiaTheme="minorEastAsia"/>
                <w:color w:val="auto"/>
                <w:sz w:val="20"/>
                <w:szCs w:val="20"/>
              </w:rPr>
              <w:t>0</w:t>
            </w:r>
            <w:r>
              <w:rPr>
                <w:rFonts w:hint="eastAsia" w:asciiTheme="minorEastAsia" w:hAnsiTheme="minorEastAsia" w:eastAsiaTheme="minorEastAsia"/>
                <w:color w:val="auto"/>
                <w:sz w:val="20"/>
                <w:szCs w:val="20"/>
              </w:rPr>
              <w:t>个</w:t>
            </w:r>
          </w:p>
        </w:tc>
        <w:tc>
          <w:tcPr>
            <w:tcW w:w="1279" w:type="pct"/>
            <w:vAlign w:val="center"/>
          </w:tcPr>
          <w:p w14:paraId="5D1A58AD">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实际完成舆情监测分析月报</w:t>
            </w:r>
            <w:r>
              <w:rPr>
                <w:rFonts w:asciiTheme="minorEastAsia" w:hAnsiTheme="minorEastAsia" w:eastAsiaTheme="minorEastAsia"/>
                <w:color w:val="auto"/>
                <w:sz w:val="20"/>
                <w:szCs w:val="20"/>
              </w:rPr>
              <w:t>3</w:t>
            </w:r>
            <w:r>
              <w:rPr>
                <w:rFonts w:hint="eastAsia" w:asciiTheme="minorEastAsia" w:hAnsiTheme="minorEastAsia" w:eastAsiaTheme="minorEastAsia"/>
                <w:color w:val="auto"/>
                <w:sz w:val="20"/>
                <w:szCs w:val="20"/>
              </w:rPr>
              <w:t>期；舆情监测分析专报</w:t>
            </w:r>
            <w:r>
              <w:rPr>
                <w:rFonts w:asciiTheme="minorEastAsia" w:hAnsiTheme="minorEastAsia" w:eastAsiaTheme="minorEastAsia"/>
                <w:color w:val="auto"/>
                <w:sz w:val="20"/>
                <w:szCs w:val="20"/>
              </w:rPr>
              <w:t>0</w:t>
            </w:r>
            <w:r>
              <w:rPr>
                <w:rFonts w:hint="eastAsia" w:asciiTheme="minorEastAsia" w:hAnsiTheme="minorEastAsia" w:eastAsiaTheme="minorEastAsia"/>
                <w:color w:val="auto"/>
                <w:sz w:val="20"/>
                <w:szCs w:val="20"/>
              </w:rPr>
              <w:t>期；政策性文件舆情监测专题2</w:t>
            </w:r>
            <w:r>
              <w:rPr>
                <w:rFonts w:asciiTheme="minorEastAsia" w:hAnsiTheme="minorEastAsia" w:eastAsiaTheme="minorEastAsia"/>
                <w:color w:val="auto"/>
                <w:sz w:val="20"/>
                <w:szCs w:val="20"/>
              </w:rPr>
              <w:t>0</w:t>
            </w:r>
            <w:r>
              <w:rPr>
                <w:rFonts w:hint="eastAsia" w:asciiTheme="minorEastAsia" w:hAnsiTheme="minorEastAsia" w:eastAsiaTheme="minorEastAsia"/>
                <w:color w:val="auto"/>
                <w:sz w:val="20"/>
                <w:szCs w:val="20"/>
              </w:rPr>
              <w:t>个</w:t>
            </w:r>
          </w:p>
        </w:tc>
        <w:tc>
          <w:tcPr>
            <w:tcW w:w="1474" w:type="pct"/>
            <w:vAlign w:val="center"/>
          </w:tcPr>
          <w:p w14:paraId="14AD0CAC">
            <w:pPr>
              <w:keepNext w:val="0"/>
              <w:keepLines w:val="0"/>
              <w:suppressLineNumbers w:val="0"/>
              <w:adjustRightInd w:val="0"/>
              <w:snapToGrid w:val="0"/>
              <w:spacing w:before="0" w:beforeAutospacing="0" w:after="0" w:afterAutospacing="0"/>
              <w:ind w:left="-1" w:leftChars="-54" w:right="0" w:hanging="112" w:hangingChars="56"/>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该项目为2023年新增跨年项目，部分工作尚未开展</w:t>
            </w:r>
          </w:p>
        </w:tc>
      </w:tr>
    </w:tbl>
    <w:p w14:paraId="4C212DFC">
      <w:pPr>
        <w:adjustRightInd w:val="0"/>
        <w:snapToGrid w:val="0"/>
        <w:jc w:val="both"/>
        <w:rPr>
          <w:rFonts w:hint="eastAsia" w:ascii="黑体" w:hAnsi="黑体" w:eastAsia="黑体"/>
          <w:sz w:val="28"/>
          <w:szCs w:val="28"/>
        </w:rPr>
      </w:pPr>
    </w:p>
    <w:p w14:paraId="66C32F79">
      <w:pPr>
        <w:adjustRightInd w:val="0"/>
        <w:snapToGrid w:val="0"/>
        <w:spacing w:line="360" w:lineRule="auto"/>
        <w:ind w:firstLine="400" w:firstLineChars="200"/>
        <w:rPr>
          <w:sz w:val="20"/>
          <w:szCs w:val="20"/>
        </w:rPr>
      </w:pPr>
    </w:p>
    <w:p w14:paraId="43E56853">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2.产出</w:t>
      </w:r>
      <w:r>
        <w:rPr>
          <w:rFonts w:ascii="仿宋_GB2312" w:eastAsia="仿宋_GB2312"/>
          <w:bCs/>
          <w:sz w:val="32"/>
          <w:szCs w:val="32"/>
        </w:rPr>
        <w:t>质量</w:t>
      </w:r>
    </w:p>
    <w:p w14:paraId="0EBF2EC8">
      <w:pPr>
        <w:adjustRightInd w:val="0"/>
        <w:snapToGrid w:val="0"/>
        <w:spacing w:line="560" w:lineRule="exact"/>
        <w:ind w:firstLine="640" w:firstLineChars="200"/>
        <w:rPr>
          <w:rFonts w:ascii="仿宋_GB2312" w:eastAsia="仿宋_GB2312"/>
          <w:bCs/>
          <w:sz w:val="32"/>
          <w:szCs w:val="32"/>
        </w:rPr>
      </w:pPr>
      <w:r>
        <w:rPr>
          <w:rFonts w:hint="eastAsia" w:ascii="仿宋_GB2312" w:eastAsia="仿宋_GB2312"/>
          <w:bCs/>
          <w:sz w:val="32"/>
          <w:szCs w:val="32"/>
        </w:rPr>
        <w:t>202</w:t>
      </w:r>
      <w:r>
        <w:rPr>
          <w:rFonts w:ascii="仿宋_GB2312" w:eastAsia="仿宋_GB2312"/>
          <w:bCs/>
          <w:sz w:val="32"/>
          <w:szCs w:val="32"/>
        </w:rPr>
        <w:t>3</w:t>
      </w:r>
      <w:r>
        <w:rPr>
          <w:rFonts w:hint="eastAsia" w:ascii="仿宋_GB2312" w:eastAsia="仿宋_GB2312"/>
          <w:bCs/>
          <w:sz w:val="32"/>
          <w:szCs w:val="32"/>
        </w:rPr>
        <w:t>年度市政务服务局各项产出基本按照预期质量要求完成，以部门主要职能职责活动对应的工作开展质量情况为分析对象，具体情况如下：</w:t>
      </w:r>
    </w:p>
    <w:p w14:paraId="674D1E81">
      <w:pPr>
        <w:adjustRightInd w:val="0"/>
        <w:snapToGrid w:val="0"/>
        <w:spacing w:line="560" w:lineRule="exact"/>
        <w:ind w:firstLine="640" w:firstLineChars="200"/>
        <w:rPr>
          <w:rFonts w:ascii="仿宋_GB2312" w:eastAsia="仿宋_GB2312"/>
          <w:bCs/>
          <w:color w:val="auto"/>
          <w:sz w:val="32"/>
          <w:szCs w:val="32"/>
        </w:rPr>
      </w:pPr>
      <w:r>
        <w:rPr>
          <w:rFonts w:hint="eastAsia" w:ascii="仿宋_GB2312" w:eastAsia="仿宋_GB2312"/>
          <w:bCs/>
          <w:color w:val="auto"/>
          <w:sz w:val="32"/>
          <w:szCs w:val="32"/>
        </w:rPr>
        <w:t>接诉即办工作方面，工作开展认真贯彻《北京市接诉即办工作条例》，做好《条例》执法检查问题整改，反映市民诉求，接诉即办法治化规范化水平得到提升。12345市民服务热线全年共受理市民反映2144万件</w:t>
      </w:r>
      <w:r>
        <w:rPr>
          <w:rFonts w:hint="eastAsia" w:ascii="仿宋_GB2312" w:eastAsia="仿宋_GB2312"/>
          <w:bCs/>
          <w:color w:val="auto"/>
          <w:sz w:val="32"/>
          <w:szCs w:val="32"/>
          <w:lang w:eastAsia="zh-CN"/>
        </w:rPr>
        <w:t>，</w:t>
      </w:r>
      <w:r>
        <w:rPr>
          <w:rFonts w:hint="eastAsia" w:ascii="仿宋_GB2312" w:eastAsia="仿宋_GB2312"/>
          <w:bCs/>
          <w:color w:val="auto"/>
          <w:sz w:val="32"/>
          <w:szCs w:val="32"/>
        </w:rPr>
        <w:t>解决率95.53%</w:t>
      </w:r>
      <w:r>
        <w:rPr>
          <w:rFonts w:hint="eastAsia" w:ascii="仿宋_GB2312" w:eastAsia="仿宋_GB2312"/>
          <w:bCs/>
          <w:color w:val="auto"/>
          <w:sz w:val="32"/>
          <w:szCs w:val="32"/>
          <w:lang w:eastAsia="zh-CN"/>
        </w:rPr>
        <w:t>，</w:t>
      </w:r>
      <w:r>
        <w:rPr>
          <w:rFonts w:hint="eastAsia" w:ascii="仿宋_GB2312" w:eastAsia="仿宋_GB2312"/>
          <w:bCs/>
          <w:color w:val="auto"/>
          <w:sz w:val="32"/>
          <w:szCs w:val="32"/>
        </w:rPr>
        <w:t>满意率96.07%。政务热线服务质量评估成绩均位居全国前列。</w:t>
      </w:r>
      <w:r>
        <w:rPr>
          <w:rFonts w:ascii="仿宋_GB2312" w:eastAsia="仿宋_GB2312"/>
          <w:bCs/>
          <w:color w:val="auto"/>
          <w:sz w:val="32"/>
          <w:szCs w:val="32"/>
        </w:rPr>
        <w:t xml:space="preserve"> </w:t>
      </w:r>
    </w:p>
    <w:p w14:paraId="18C5EA6F">
      <w:pPr>
        <w:adjustRightInd w:val="0"/>
        <w:snapToGrid w:val="0"/>
        <w:spacing w:line="560" w:lineRule="exact"/>
        <w:ind w:firstLine="640" w:firstLineChars="200"/>
        <w:rPr>
          <w:rFonts w:hint="eastAsia" w:ascii="仿宋_GB2312" w:eastAsia="仿宋_GB2312"/>
          <w:bCs/>
          <w:color w:val="auto"/>
          <w:sz w:val="32"/>
          <w:szCs w:val="32"/>
          <w:highlight w:val="none"/>
        </w:rPr>
      </w:pPr>
      <w:r>
        <w:rPr>
          <w:rFonts w:hint="eastAsia" w:ascii="仿宋_GB2312" w:eastAsia="仿宋_GB2312"/>
          <w:bCs/>
          <w:color w:val="auto"/>
          <w:sz w:val="32"/>
          <w:szCs w:val="32"/>
          <w:highlight w:val="none"/>
        </w:rPr>
        <w:t>政务公开及信息公开工作方面，</w:t>
      </w:r>
      <w:r>
        <w:rPr>
          <w:rFonts w:hint="eastAsia" w:ascii="仿宋_GB2312" w:eastAsia="仿宋_GB2312"/>
          <w:bCs/>
          <w:color w:val="auto"/>
          <w:sz w:val="32"/>
          <w:szCs w:val="32"/>
          <w:highlight w:val="none"/>
          <w:lang w:val="en-US" w:eastAsia="zh-CN"/>
        </w:rPr>
        <w:t>工作开展符合</w:t>
      </w:r>
      <w:r>
        <w:rPr>
          <w:rFonts w:hint="eastAsia" w:ascii="仿宋_GB2312" w:eastAsia="仿宋_GB2312"/>
          <w:bCs/>
          <w:color w:val="auto"/>
          <w:sz w:val="32"/>
          <w:szCs w:val="32"/>
          <w:highlight w:val="none"/>
        </w:rPr>
        <w:t>中办、国办《关于全面推进政务公开工作的意见》（中办发〔2016〕8号）</w:t>
      </w:r>
      <w:r>
        <w:rPr>
          <w:rFonts w:hint="eastAsia" w:ascii="仿宋_GB2312" w:eastAsia="仿宋_GB2312"/>
          <w:bCs/>
          <w:color w:val="auto"/>
          <w:sz w:val="32"/>
          <w:szCs w:val="32"/>
          <w:highlight w:val="none"/>
          <w:lang w:val="en-US" w:eastAsia="zh-CN"/>
        </w:rPr>
        <w:t>及</w:t>
      </w:r>
      <w:r>
        <w:rPr>
          <w:rFonts w:hint="eastAsia" w:ascii="仿宋_GB2312" w:eastAsia="仿宋_GB2312"/>
          <w:bCs/>
          <w:color w:val="auto"/>
          <w:sz w:val="32"/>
          <w:szCs w:val="32"/>
          <w:highlight w:val="none"/>
        </w:rPr>
        <w:t>《中共北京市委办公厅北京市人民政府办公厅印发</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rPr>
        <w:t>关于全面推进政务公开工作的实施意见</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rPr>
        <w:t>的通知》（京办发〔2016〕24号）</w:t>
      </w:r>
      <w:r>
        <w:rPr>
          <w:rFonts w:hint="eastAsia" w:ascii="仿宋_GB2312" w:eastAsia="仿宋_GB2312"/>
          <w:bCs/>
          <w:color w:val="auto"/>
          <w:sz w:val="32"/>
          <w:szCs w:val="32"/>
          <w:highlight w:val="none"/>
          <w:lang w:val="en-US" w:eastAsia="zh-CN"/>
        </w:rPr>
        <w:t>中的相关要求，有效</w:t>
      </w:r>
      <w:r>
        <w:rPr>
          <w:rFonts w:hint="eastAsia" w:ascii="仿宋_GB2312" w:eastAsia="仿宋_GB2312"/>
          <w:bCs/>
          <w:color w:val="auto"/>
          <w:sz w:val="32"/>
          <w:szCs w:val="32"/>
          <w:highlight w:val="none"/>
        </w:rPr>
        <w:t>保障了政务服务和营商环境相关政策及工作宣传解读权威、精准</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rPr>
        <w:t>向社会主动公开评估结果，同时自觉查找问题和不足，强化督促整改机制建设。</w:t>
      </w:r>
    </w:p>
    <w:p w14:paraId="0A48BB4B">
      <w:pPr>
        <w:keepNext w:val="0"/>
        <w:keepLines w:val="0"/>
        <w:widowControl/>
        <w:suppressLineNumbers w:val="0"/>
        <w:adjustRightInd w:val="0"/>
        <w:snapToGrid w:val="0"/>
        <w:spacing w:before="0" w:beforeAutospacing="0" w:after="0" w:afterAutospacing="0" w:line="560" w:lineRule="exact"/>
        <w:ind w:left="0" w:right="0" w:firstLine="640" w:firstLineChars="200"/>
        <w:jc w:val="left"/>
        <w:rPr>
          <w:rFonts w:hint="eastAsia" w:ascii="仿宋_GB2312" w:eastAsia="仿宋_GB2312" w:cs="仿宋_GB2312"/>
          <w:color w:val="000000"/>
          <w:sz w:val="32"/>
          <w:szCs w:val="32"/>
          <w:lang w:val="en-US"/>
        </w:rPr>
      </w:pPr>
      <w:r>
        <w:rPr>
          <w:rFonts w:hint="eastAsia" w:ascii="仿宋_GB2312" w:eastAsia="仿宋_GB2312" w:cs="仿宋_GB2312"/>
          <w:color w:val="000000"/>
          <w:kern w:val="2"/>
          <w:sz w:val="32"/>
          <w:szCs w:val="32"/>
          <w:lang w:val="en-US" w:eastAsia="zh-CN" w:bidi="ar"/>
        </w:rPr>
        <w:t>“</w:t>
      </w:r>
      <w:r>
        <w:rPr>
          <w:rFonts w:hint="eastAsia" w:ascii="仿宋_GB2312" w:hAnsi="Times New Roman" w:eastAsia="仿宋_GB2312" w:cs="仿宋_GB2312"/>
          <w:color w:val="000000"/>
          <w:kern w:val="2"/>
          <w:sz w:val="32"/>
          <w:szCs w:val="32"/>
          <w:lang w:val="en-US" w:eastAsia="zh-CN" w:bidi="ar"/>
        </w:rPr>
        <w:t>放管服</w:t>
      </w:r>
      <w:r>
        <w:rPr>
          <w:rFonts w:hint="eastAsia" w:ascii="仿宋_GB2312" w:eastAsia="仿宋_GB2312" w:cs="仿宋_GB2312"/>
          <w:color w:val="000000"/>
          <w:kern w:val="2"/>
          <w:sz w:val="32"/>
          <w:szCs w:val="32"/>
          <w:lang w:val="en-US" w:eastAsia="zh-CN" w:bidi="ar"/>
        </w:rPr>
        <w:t>”</w:t>
      </w:r>
      <w:r>
        <w:rPr>
          <w:rFonts w:hint="eastAsia" w:ascii="仿宋_GB2312" w:hAnsi="Times New Roman" w:eastAsia="仿宋_GB2312" w:cs="仿宋_GB2312"/>
          <w:color w:val="000000"/>
          <w:kern w:val="2"/>
          <w:sz w:val="32"/>
          <w:szCs w:val="32"/>
          <w:lang w:val="en-US" w:eastAsia="zh-CN" w:bidi="ar"/>
        </w:rPr>
        <w:t>改革工作方面，实现了政策兑现核查问卷调查问题设计及调查人群全面覆盖，形成的调研报告及改革理论研究报告能够为政策</w:t>
      </w:r>
      <w:r>
        <w:rPr>
          <w:rFonts w:hint="eastAsia" w:ascii="仿宋_GB2312" w:eastAsia="仿宋_GB2312" w:cs="仿宋_GB2312"/>
          <w:color w:val="000000"/>
          <w:kern w:val="2"/>
          <w:sz w:val="32"/>
          <w:szCs w:val="32"/>
          <w:lang w:val="en-US" w:eastAsia="zh-CN" w:bidi="ar"/>
        </w:rPr>
        <w:t>确定</w:t>
      </w:r>
      <w:r>
        <w:rPr>
          <w:rFonts w:hint="eastAsia" w:ascii="仿宋_GB2312" w:hAnsi="Times New Roman" w:eastAsia="仿宋_GB2312" w:cs="仿宋_GB2312"/>
          <w:color w:val="000000"/>
          <w:kern w:val="2"/>
          <w:sz w:val="32"/>
          <w:szCs w:val="32"/>
          <w:lang w:val="en-US" w:eastAsia="zh-CN" w:bidi="ar"/>
        </w:rPr>
        <w:t>提供参考。</w:t>
      </w:r>
    </w:p>
    <w:p w14:paraId="78E58D3B">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pPr>
      <w:r>
        <w:rPr>
          <w:rFonts w:hint="eastAsia" w:ascii="仿宋_GB2312" w:hAnsi="Times New Roman" w:eastAsia="仿宋_GB2312" w:cs="仿宋_GB2312"/>
          <w:color w:val="000000"/>
          <w:kern w:val="2"/>
          <w:sz w:val="32"/>
          <w:szCs w:val="32"/>
          <w:lang w:val="en-US" w:eastAsia="zh-CN" w:bidi="ar"/>
        </w:rPr>
        <w:t>政务服务管理工作方面，实现了政务服务事项标准化核查要素完备度90%以上，政务服务便民自助终端7*24小时稳定运行，针对政务服务之星能够形成先进事迹并巡回宣讲；持续推进“双授权”改革落地</w:t>
      </w:r>
      <w:r>
        <w:rPr>
          <w:rFonts w:hint="eastAsia" w:ascii="仿宋_GB2312" w:eastAsia="仿宋_GB2312" w:cs="仿宋_GB2312"/>
          <w:color w:val="000000"/>
          <w:kern w:val="2"/>
          <w:sz w:val="32"/>
          <w:szCs w:val="32"/>
          <w:lang w:val="en-US" w:eastAsia="zh-CN" w:bidi="ar"/>
        </w:rPr>
        <w:t>，实现委托受理率、授权审批率均为100%；升级了大厅服务能力，如，“政务专递”；开</w:t>
      </w:r>
      <w:r>
        <w:rPr>
          <w:rFonts w:hint="eastAsia" w:ascii="仿宋_GB2312" w:hAnsi="仿宋_GB2312" w:eastAsia="仿宋_GB2312" w:cs="仿宋_GB2312"/>
          <w:b w:val="0"/>
          <w:bCs w:val="0"/>
          <w:i w:val="0"/>
          <w:caps w:val="0"/>
          <w:color w:val="auto"/>
          <w:spacing w:val="0"/>
          <w:w w:val="100"/>
          <w:kern w:val="2"/>
          <w:sz w:val="32"/>
          <w:szCs w:val="32"/>
          <w:highlight w:val="none"/>
          <w:lang w:val="en-US" w:eastAsia="zh-CN" w:bidi="ar-SA"/>
        </w:rPr>
        <w:t>展“周五走流程”系列活动，推动办事指南完善、大厅布局优化，发现问题73个，已全部优化解决完毕，按照“联、运、评、贷、投、落”的工作链条，高标准高质量地开展各项工作。</w:t>
      </w:r>
    </w:p>
    <w:p w14:paraId="4D659FB8">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eastAsia="仿宋_GB2312" w:cs="仿宋_GB2312"/>
          <w:color w:val="000000"/>
          <w:sz w:val="32"/>
          <w:szCs w:val="32"/>
          <w:lang w:val="en-US"/>
        </w:rPr>
      </w:pPr>
      <w:r>
        <w:rPr>
          <w:rFonts w:hint="eastAsia" w:ascii="仿宋_GB2312" w:hAnsi="Times New Roman" w:eastAsia="仿宋_GB2312" w:cs="仿宋_GB2312"/>
          <w:color w:val="000000"/>
          <w:kern w:val="2"/>
          <w:sz w:val="32"/>
          <w:szCs w:val="32"/>
          <w:lang w:val="en-US" w:eastAsia="zh-CN" w:bidi="ar"/>
        </w:rPr>
        <w:t>公共资源交易场所服务管理工作方面，保障公共资源交易综合分平台100%平稳、高效运行，中介服务网上交易平台网络畅通率100%，实现入驻中介机构、项目发布数同比大幅提升，平台活跃度显著提升。</w:t>
      </w:r>
    </w:p>
    <w:p w14:paraId="00E11EB1">
      <w:pPr>
        <w:adjustRightInd w:val="0"/>
        <w:snapToGrid w:val="0"/>
        <w:spacing w:line="560" w:lineRule="exact"/>
        <w:ind w:firstLine="640"/>
        <w:rPr>
          <w:rFonts w:hint="default" w:ascii="仿宋_GB2312" w:eastAsia="仿宋_GB2312"/>
          <w:bCs/>
          <w:color w:val="auto"/>
          <w:sz w:val="32"/>
          <w:szCs w:val="32"/>
          <w:highlight w:val="none"/>
          <w:lang w:val="en-US" w:eastAsia="zh-CN"/>
        </w:rPr>
      </w:pPr>
      <w:r>
        <w:rPr>
          <w:rFonts w:hint="eastAsia" w:ascii="仿宋_GB2312" w:hAnsi="Times New Roman" w:eastAsia="仿宋_GB2312" w:cs="仿宋_GB2312"/>
          <w:color w:val="000000"/>
          <w:kern w:val="2"/>
          <w:sz w:val="32"/>
          <w:szCs w:val="32"/>
          <w:lang w:val="en-US" w:eastAsia="zh-CN" w:bidi="ar"/>
        </w:rPr>
        <w:t>综上，市政务服务局各项产出完成质量情况较好，但个别项目开展质量情况有待进一步提升，如，</w:t>
      </w:r>
      <w:r>
        <w:rPr>
          <w:rFonts w:hint="eastAsia" w:ascii="仿宋_GB2312" w:eastAsia="仿宋_GB2312"/>
          <w:bCs/>
          <w:color w:val="auto"/>
          <w:sz w:val="32"/>
          <w:szCs w:val="32"/>
        </w:rPr>
        <w:t>“第三方大数据挖掘及评估分析”项目应明晰社会调查选题，进一步加强调研深度和访谈典型性</w:t>
      </w:r>
      <w:r>
        <w:rPr>
          <w:rFonts w:hint="eastAsia" w:ascii="仿宋_GB2312" w:eastAsia="仿宋_GB2312"/>
          <w:bCs/>
          <w:color w:val="auto"/>
          <w:sz w:val="32"/>
          <w:szCs w:val="32"/>
          <w:highlight w:val="none"/>
        </w:rPr>
        <w:t>；</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rPr>
        <w:t>数据智能分析及第三方核查服务项目</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rPr>
        <w:t>成果</w:t>
      </w:r>
      <w:r>
        <w:rPr>
          <w:rFonts w:hint="eastAsia" w:ascii="仿宋_GB2312" w:eastAsia="仿宋_GB2312"/>
          <w:bCs/>
          <w:color w:val="auto"/>
          <w:sz w:val="32"/>
          <w:szCs w:val="32"/>
          <w:highlight w:val="none"/>
          <w:lang w:val="en-US" w:eastAsia="zh-CN"/>
        </w:rPr>
        <w:t>材料</w:t>
      </w:r>
      <w:r>
        <w:rPr>
          <w:rFonts w:hint="eastAsia" w:ascii="仿宋_GB2312" w:eastAsia="仿宋_GB2312"/>
          <w:bCs/>
          <w:color w:val="auto"/>
          <w:sz w:val="32"/>
          <w:szCs w:val="32"/>
          <w:highlight w:val="none"/>
        </w:rPr>
        <w:t>初次合格率较低，需要反复修订报告，部分建议不具备创新性和执行力</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lang w:val="en-US" w:eastAsia="zh-CN"/>
        </w:rPr>
        <w:t>千人千题</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lang w:val="en-US" w:eastAsia="zh-CN"/>
        </w:rPr>
        <w:t>竞赛考试项目</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rPr>
        <w:t>需进一步丰富场景类考题，</w:t>
      </w:r>
      <w:r>
        <w:rPr>
          <w:rFonts w:hint="eastAsia" w:ascii="仿宋_GB2312" w:eastAsia="仿宋_GB2312"/>
          <w:bCs/>
          <w:color w:val="auto"/>
          <w:sz w:val="32"/>
          <w:szCs w:val="32"/>
          <w:highlight w:val="none"/>
          <w:lang w:val="en-US" w:eastAsia="zh-CN"/>
        </w:rPr>
        <w:t>以</w:t>
      </w:r>
      <w:r>
        <w:rPr>
          <w:rFonts w:hint="eastAsia" w:ascii="仿宋_GB2312" w:eastAsia="仿宋_GB2312"/>
          <w:bCs/>
          <w:color w:val="auto"/>
          <w:sz w:val="32"/>
          <w:szCs w:val="32"/>
          <w:highlight w:val="none"/>
        </w:rPr>
        <w:t>提高工作人员实际操作能力</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rPr>
        <w:t>北京市政府国际版门户网站运营服务项目</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lang w:val="en-US" w:eastAsia="zh-CN"/>
        </w:rPr>
        <w:t>上半年工作开展过程中存在</w:t>
      </w:r>
      <w:r>
        <w:rPr>
          <w:rFonts w:hint="eastAsia" w:ascii="仿宋_GB2312" w:eastAsia="仿宋_GB2312"/>
          <w:bCs/>
          <w:color w:val="auto"/>
          <w:sz w:val="32"/>
          <w:szCs w:val="32"/>
          <w:highlight w:val="none"/>
        </w:rPr>
        <w:t>错译、漏译等基础性错误，部分政务服务信息存在信息删减不当问题</w:t>
      </w:r>
      <w:r>
        <w:rPr>
          <w:rFonts w:hint="eastAsia" w:ascii="仿宋_GB2312" w:eastAsia="仿宋_GB2312"/>
          <w:bCs/>
          <w:color w:val="auto"/>
          <w:sz w:val="32"/>
          <w:szCs w:val="32"/>
          <w:highlight w:val="none"/>
          <w:lang w:eastAsia="zh-CN"/>
        </w:rPr>
        <w:t>，</w:t>
      </w:r>
      <w:r>
        <w:rPr>
          <w:rFonts w:hint="eastAsia" w:ascii="仿宋_GB2312" w:eastAsia="仿宋_GB2312"/>
          <w:bCs/>
          <w:color w:val="auto"/>
          <w:sz w:val="32"/>
          <w:szCs w:val="32"/>
          <w:highlight w:val="none"/>
          <w:lang w:val="en-US" w:eastAsia="zh-CN"/>
        </w:rPr>
        <w:t>下半年译文质量趋于稳定。此外，存在部分年中追加项目因实施时间较短，截至评价分析时点，项目还暂未进行阶段性验收、总体验收等，实施质量暂难以精准判断。</w:t>
      </w:r>
    </w:p>
    <w:p w14:paraId="1F1244AF">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3.产出</w:t>
      </w:r>
      <w:r>
        <w:rPr>
          <w:rFonts w:ascii="仿宋_GB2312" w:eastAsia="仿宋_GB2312"/>
          <w:bCs/>
          <w:sz w:val="32"/>
          <w:szCs w:val="32"/>
        </w:rPr>
        <w:t>进度</w:t>
      </w:r>
    </w:p>
    <w:p w14:paraId="565A91DD">
      <w:pPr>
        <w:adjustRightInd w:val="0"/>
        <w:snapToGrid w:val="0"/>
        <w:spacing w:line="560" w:lineRule="exact"/>
        <w:ind w:firstLine="640" w:firstLineChars="200"/>
        <w:rPr>
          <w:rFonts w:hint="eastAsia" w:ascii="仿宋_GB2312" w:eastAsia="仿宋_GB2312"/>
          <w:color w:val="000000"/>
          <w:sz w:val="32"/>
          <w:szCs w:val="32"/>
          <w:highlight w:val="none"/>
          <w:lang w:eastAsia="zh-CN"/>
        </w:rPr>
      </w:pPr>
      <w:r>
        <w:rPr>
          <w:rFonts w:hint="eastAsia" w:ascii="仿宋_GB2312" w:eastAsia="仿宋_GB2312"/>
          <w:color w:val="000000"/>
          <w:sz w:val="32"/>
          <w:szCs w:val="32"/>
          <w:highlight w:val="none"/>
        </w:rPr>
        <w:t>202</w:t>
      </w:r>
      <w:r>
        <w:rPr>
          <w:rFonts w:hint="eastAsia" w:ascii="仿宋_GB2312" w:eastAsia="仿宋_GB2312"/>
          <w:color w:val="000000"/>
          <w:sz w:val="32"/>
          <w:szCs w:val="32"/>
          <w:highlight w:val="none"/>
          <w:lang w:val="en-US" w:eastAsia="zh-CN"/>
        </w:rPr>
        <w:t>3</w:t>
      </w:r>
      <w:r>
        <w:rPr>
          <w:rFonts w:hint="eastAsia" w:ascii="仿宋_GB2312" w:eastAsia="仿宋_GB2312"/>
          <w:color w:val="000000"/>
          <w:sz w:val="32"/>
          <w:szCs w:val="32"/>
          <w:highlight w:val="none"/>
        </w:rPr>
        <w:t>年度市政务服务局各项产出进度总体执行较好，</w:t>
      </w:r>
      <w:r>
        <w:rPr>
          <w:rFonts w:hint="eastAsia" w:ascii="仿宋_GB2312" w:eastAsia="仿宋_GB2312"/>
          <w:color w:val="000000"/>
          <w:sz w:val="32"/>
          <w:szCs w:val="32"/>
          <w:highlight w:val="none"/>
          <w:lang w:val="en-US" w:eastAsia="zh-CN"/>
        </w:rPr>
        <w:t>纳入自评的91个项目中，</w:t>
      </w:r>
      <w:r>
        <w:rPr>
          <w:rFonts w:hint="eastAsia" w:ascii="仿宋_GB2312" w:eastAsia="仿宋_GB2312"/>
          <w:color w:val="000000"/>
          <w:sz w:val="32"/>
          <w:szCs w:val="32"/>
          <w:highlight w:val="none"/>
        </w:rPr>
        <w:t>除第三方政务服务绩效考核服务</w:t>
      </w:r>
      <w:r>
        <w:rPr>
          <w:rFonts w:hint="eastAsia" w:ascii="仿宋_GB2312" w:eastAsia="仿宋_GB2312"/>
          <w:color w:val="000000"/>
          <w:sz w:val="32"/>
          <w:szCs w:val="32"/>
          <w:highlight w:val="none"/>
          <w:lang w:eastAsia="zh-CN"/>
        </w:rPr>
        <w:t>、北京市政府国际版门户网站葡萄牙语版运营服务、北京市政务服务多渠道移动端建设</w:t>
      </w:r>
      <w:r>
        <w:rPr>
          <w:rFonts w:hint="eastAsia" w:ascii="仿宋_GB2312" w:eastAsia="仿宋_GB2312"/>
          <w:color w:val="000000"/>
          <w:sz w:val="32"/>
          <w:szCs w:val="32"/>
          <w:highlight w:val="none"/>
        </w:rPr>
        <w:t>等</w:t>
      </w:r>
      <w:bookmarkStart w:id="14" w:name="_Hlk103796646"/>
      <w:r>
        <w:rPr>
          <w:rFonts w:hint="eastAsia" w:ascii="仿宋_GB2312" w:eastAsia="仿宋_GB2312"/>
          <w:color w:val="000000"/>
          <w:sz w:val="32"/>
          <w:szCs w:val="32"/>
          <w:highlight w:val="none"/>
          <w:lang w:val="en-US" w:eastAsia="zh-CN"/>
        </w:rPr>
        <w:t>16</w:t>
      </w:r>
      <w:r>
        <w:rPr>
          <w:rFonts w:hint="eastAsia" w:ascii="仿宋_GB2312" w:eastAsia="仿宋_GB2312"/>
          <w:color w:val="000000"/>
          <w:sz w:val="32"/>
          <w:szCs w:val="32"/>
          <w:highlight w:val="none"/>
        </w:rPr>
        <w:t>个项目较计划进度有偏差</w:t>
      </w:r>
      <w:bookmarkEnd w:id="14"/>
      <w:r>
        <w:rPr>
          <w:rFonts w:hint="eastAsia" w:ascii="仿宋_GB2312" w:eastAsia="仿宋_GB2312"/>
          <w:color w:val="000000"/>
          <w:sz w:val="32"/>
          <w:szCs w:val="32"/>
          <w:highlight w:val="none"/>
        </w:rPr>
        <w:t>外（见表</w:t>
      </w:r>
      <w:r>
        <w:rPr>
          <w:rFonts w:ascii="仿宋_GB2312" w:eastAsia="仿宋_GB2312"/>
          <w:color w:val="000000"/>
          <w:sz w:val="32"/>
          <w:szCs w:val="32"/>
          <w:highlight w:val="none"/>
        </w:rPr>
        <w:t>6</w:t>
      </w:r>
      <w:r>
        <w:rPr>
          <w:rFonts w:hint="eastAsia" w:ascii="仿宋_GB2312" w:eastAsia="仿宋_GB2312"/>
          <w:color w:val="000000"/>
          <w:sz w:val="32"/>
          <w:szCs w:val="32"/>
          <w:highlight w:val="none"/>
        </w:rPr>
        <w:t>），其余</w:t>
      </w:r>
      <w:r>
        <w:rPr>
          <w:rFonts w:hint="eastAsia" w:ascii="仿宋_GB2312" w:eastAsia="仿宋_GB2312"/>
          <w:color w:val="000000"/>
          <w:sz w:val="32"/>
          <w:szCs w:val="32"/>
          <w:highlight w:val="none"/>
          <w:lang w:val="en-US" w:eastAsia="zh-CN"/>
        </w:rPr>
        <w:t>项目</w:t>
      </w:r>
      <w:r>
        <w:rPr>
          <w:rFonts w:hint="eastAsia" w:ascii="仿宋_GB2312" w:eastAsia="仿宋_GB2312"/>
          <w:color w:val="000000"/>
          <w:sz w:val="32"/>
          <w:szCs w:val="32"/>
          <w:highlight w:val="none"/>
        </w:rPr>
        <w:t>各项指标均按计划进度执行。</w:t>
      </w:r>
    </w:p>
    <w:p w14:paraId="766B513A">
      <w:pPr>
        <w:adjustRightInd w:val="0"/>
        <w:snapToGrid w:val="0"/>
        <w:spacing w:line="560" w:lineRule="exact"/>
        <w:ind w:firstLine="560"/>
        <w:jc w:val="center"/>
        <w:rPr>
          <w:rFonts w:hint="eastAsia" w:ascii="黑体" w:hAnsi="黑体" w:eastAsia="黑体"/>
          <w:color w:val="auto"/>
          <w:sz w:val="28"/>
          <w:szCs w:val="28"/>
        </w:rPr>
      </w:pPr>
      <w:r>
        <w:rPr>
          <w:rFonts w:hint="eastAsia" w:ascii="黑体" w:hAnsi="黑体" w:eastAsia="黑体"/>
          <w:color w:val="auto"/>
          <w:sz w:val="28"/>
          <w:szCs w:val="28"/>
        </w:rPr>
        <w:t>表</w:t>
      </w:r>
      <w:r>
        <w:rPr>
          <w:rFonts w:ascii="黑体" w:hAnsi="黑体" w:eastAsia="黑体"/>
          <w:color w:val="auto"/>
          <w:sz w:val="28"/>
          <w:szCs w:val="28"/>
        </w:rPr>
        <w:t>6</w:t>
      </w:r>
      <w:r>
        <w:rPr>
          <w:rFonts w:hint="eastAsia" w:ascii="黑体" w:hAnsi="黑体" w:eastAsia="黑体"/>
          <w:color w:val="auto"/>
          <w:sz w:val="28"/>
          <w:szCs w:val="28"/>
        </w:rPr>
        <w:t>：市政务服务局实际产出进度偏差统计</w:t>
      </w:r>
    </w:p>
    <w:tbl>
      <w:tblPr>
        <w:tblStyle w:val="16"/>
        <w:tblW w:w="5310" w:type="pct"/>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1"/>
        <w:gridCol w:w="1787"/>
        <w:gridCol w:w="2703"/>
        <w:gridCol w:w="1949"/>
        <w:gridCol w:w="2482"/>
      </w:tblGrid>
      <w:tr w14:paraId="332FD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blHeader/>
        </w:trPr>
        <w:tc>
          <w:tcPr>
            <w:tcW w:w="280" w:type="pct"/>
            <w:tcMar>
              <w:left w:w="28" w:type="dxa"/>
              <w:right w:w="28" w:type="dxa"/>
            </w:tcMar>
            <w:vAlign w:val="center"/>
          </w:tcPr>
          <w:p w14:paraId="72DF5523">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序号</w:t>
            </w:r>
          </w:p>
        </w:tc>
        <w:tc>
          <w:tcPr>
            <w:tcW w:w="945" w:type="pct"/>
            <w:tcMar>
              <w:left w:w="28" w:type="dxa"/>
              <w:right w:w="28" w:type="dxa"/>
            </w:tcMar>
            <w:vAlign w:val="center"/>
          </w:tcPr>
          <w:p w14:paraId="35ECA001">
            <w:pPr>
              <w:keepNext w:val="0"/>
              <w:keepLines w:val="0"/>
              <w:suppressLineNumbers w:val="0"/>
              <w:adjustRightInd w:val="0"/>
              <w:snapToGrid w:val="0"/>
              <w:spacing w:before="0" w:beforeAutospacing="0" w:after="0" w:afterAutospacing="0"/>
              <w:ind w:left="0" w:right="0" w:firstLine="402"/>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项目名称</w:t>
            </w:r>
          </w:p>
        </w:tc>
        <w:tc>
          <w:tcPr>
            <w:tcW w:w="1429" w:type="pct"/>
            <w:tcMar>
              <w:left w:w="28" w:type="dxa"/>
              <w:right w:w="28" w:type="dxa"/>
            </w:tcMar>
            <w:vAlign w:val="center"/>
          </w:tcPr>
          <w:p w14:paraId="7474566C">
            <w:pPr>
              <w:keepNext w:val="0"/>
              <w:keepLines w:val="0"/>
              <w:suppressLineNumbers w:val="0"/>
              <w:adjustRightInd w:val="0"/>
              <w:snapToGrid w:val="0"/>
              <w:spacing w:before="0" w:beforeAutospacing="0" w:after="0" w:afterAutospacing="0"/>
              <w:ind w:left="0" w:right="0" w:firstLine="402"/>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计划进度指标</w:t>
            </w:r>
          </w:p>
        </w:tc>
        <w:tc>
          <w:tcPr>
            <w:tcW w:w="1030" w:type="pct"/>
            <w:tcMar>
              <w:left w:w="28" w:type="dxa"/>
              <w:right w:w="28" w:type="dxa"/>
            </w:tcMar>
            <w:vAlign w:val="center"/>
          </w:tcPr>
          <w:p w14:paraId="02F674A7">
            <w:pPr>
              <w:keepNext w:val="0"/>
              <w:keepLines w:val="0"/>
              <w:suppressLineNumbers w:val="0"/>
              <w:adjustRightInd w:val="0"/>
              <w:snapToGrid w:val="0"/>
              <w:spacing w:before="0" w:beforeAutospacing="0" w:after="0" w:afterAutospacing="0"/>
              <w:ind w:left="0" w:right="0" w:firstLine="402"/>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实际完成进度</w:t>
            </w:r>
          </w:p>
        </w:tc>
        <w:tc>
          <w:tcPr>
            <w:tcW w:w="1312" w:type="pct"/>
            <w:tcMar>
              <w:left w:w="28" w:type="dxa"/>
              <w:right w:w="28" w:type="dxa"/>
            </w:tcMar>
            <w:vAlign w:val="center"/>
          </w:tcPr>
          <w:p w14:paraId="65DCB187">
            <w:pPr>
              <w:keepNext w:val="0"/>
              <w:keepLines w:val="0"/>
              <w:suppressLineNumbers w:val="0"/>
              <w:adjustRightInd w:val="0"/>
              <w:snapToGrid w:val="0"/>
              <w:spacing w:before="0" w:beforeAutospacing="0" w:after="0" w:afterAutospacing="0"/>
              <w:ind w:left="0" w:right="0" w:firstLine="402"/>
              <w:jc w:val="center"/>
              <w:rPr>
                <w:rFonts w:asciiTheme="minorEastAsia" w:hAnsiTheme="minorEastAsia" w:eastAsiaTheme="minorEastAsia"/>
                <w:b/>
                <w:bCs/>
                <w:color w:val="auto"/>
                <w:sz w:val="20"/>
                <w:szCs w:val="20"/>
              </w:rPr>
            </w:pPr>
            <w:r>
              <w:rPr>
                <w:rFonts w:hint="eastAsia" w:asciiTheme="minorEastAsia" w:hAnsiTheme="minorEastAsia" w:eastAsiaTheme="minorEastAsia"/>
                <w:b/>
                <w:bCs/>
                <w:color w:val="auto"/>
                <w:sz w:val="20"/>
                <w:szCs w:val="20"/>
              </w:rPr>
              <w:t>偏差原因</w:t>
            </w:r>
          </w:p>
        </w:tc>
      </w:tr>
      <w:tr w14:paraId="12F66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280" w:type="pct"/>
            <w:vAlign w:val="center"/>
          </w:tcPr>
          <w:p w14:paraId="3B66880D">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1</w:t>
            </w:r>
          </w:p>
        </w:tc>
        <w:tc>
          <w:tcPr>
            <w:tcW w:w="945" w:type="pct"/>
            <w:vAlign w:val="center"/>
          </w:tcPr>
          <w:p w14:paraId="79F8C004">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第三方政务服务绩效考核服务</w:t>
            </w:r>
          </w:p>
        </w:tc>
        <w:tc>
          <w:tcPr>
            <w:tcW w:w="1429" w:type="pct"/>
            <w:vAlign w:val="center"/>
          </w:tcPr>
          <w:p w14:paraId="78BA49E8">
            <w:pPr>
              <w:keepNext w:val="0"/>
              <w:keepLines w:val="0"/>
              <w:suppressLineNumbers w:val="0"/>
              <w:adjustRightInd w:val="0"/>
              <w:snapToGrid w:val="0"/>
              <w:spacing w:before="0" w:beforeAutospacing="0" w:after="0" w:afterAutospacing="0"/>
              <w:ind w:left="0" w:right="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rPr>
              <w:t>1</w:t>
            </w:r>
            <w:r>
              <w:rPr>
                <w:rFonts w:asciiTheme="minorEastAsia" w:hAnsiTheme="minorEastAsia" w:eastAsiaTheme="minorEastAsia"/>
                <w:color w:val="auto"/>
                <w:sz w:val="20"/>
                <w:szCs w:val="20"/>
              </w:rPr>
              <w:t>0</w:t>
            </w:r>
            <w:r>
              <w:rPr>
                <w:rFonts w:hint="eastAsia" w:asciiTheme="minorEastAsia" w:hAnsiTheme="minorEastAsia" w:eastAsiaTheme="minorEastAsia"/>
                <w:color w:val="auto"/>
                <w:sz w:val="20"/>
                <w:szCs w:val="20"/>
              </w:rPr>
              <w:t>月底前完成2023年度内部综合绩效考评工作分析报告、市政府绩效任务专项察访核验报告</w:t>
            </w:r>
            <w:r>
              <w:rPr>
                <w:rFonts w:hint="eastAsia" w:asciiTheme="minorEastAsia" w:hAnsiTheme="minorEastAsia" w:eastAsiaTheme="minorEastAsia"/>
                <w:color w:val="auto"/>
                <w:sz w:val="20"/>
                <w:szCs w:val="20"/>
                <w:lang w:eastAsia="zh-CN"/>
              </w:rPr>
              <w:t>、</w:t>
            </w:r>
            <w:r>
              <w:rPr>
                <w:rFonts w:hint="eastAsia" w:asciiTheme="minorEastAsia" w:hAnsiTheme="minorEastAsia" w:eastAsiaTheme="minorEastAsia"/>
                <w:color w:val="auto"/>
                <w:sz w:val="20"/>
                <w:szCs w:val="20"/>
              </w:rPr>
              <w:t>市政府绩效</w:t>
            </w:r>
            <w:r>
              <w:rPr>
                <w:rFonts w:hint="eastAsia" w:asciiTheme="minorEastAsia" w:hAnsiTheme="minorEastAsia" w:eastAsiaTheme="minorEastAsia"/>
                <w:color w:val="auto"/>
                <w:sz w:val="20"/>
                <w:szCs w:val="20"/>
                <w:lang w:eastAsia="zh-CN"/>
              </w:rPr>
              <w:t>考评</w:t>
            </w:r>
            <w:r>
              <w:rPr>
                <w:rFonts w:hint="eastAsia" w:asciiTheme="minorEastAsia" w:hAnsiTheme="minorEastAsia" w:eastAsiaTheme="minorEastAsia"/>
                <w:color w:val="auto"/>
                <w:sz w:val="20"/>
                <w:szCs w:val="20"/>
              </w:rPr>
              <w:t>结果分析报告、2023年市级专项考评指标及评分标准评估报告、政府绩效任务专项察访核验报告</w:t>
            </w:r>
            <w:r>
              <w:rPr>
                <w:rFonts w:hint="eastAsia" w:asciiTheme="minorEastAsia" w:hAnsiTheme="minorEastAsia" w:eastAsiaTheme="minorEastAsia"/>
                <w:color w:val="auto"/>
                <w:sz w:val="20"/>
                <w:szCs w:val="20"/>
                <w:lang w:val="en-US" w:eastAsia="zh-CN"/>
              </w:rPr>
              <w:t>等</w:t>
            </w:r>
          </w:p>
        </w:tc>
        <w:tc>
          <w:tcPr>
            <w:tcW w:w="1030" w:type="pct"/>
            <w:vAlign w:val="center"/>
          </w:tcPr>
          <w:p w14:paraId="1DFFD8C1">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全部内容实际于202</w:t>
            </w:r>
            <w:r>
              <w:rPr>
                <w:rFonts w:asciiTheme="minorEastAsia" w:hAnsiTheme="minorEastAsia" w:eastAsiaTheme="minorEastAsia"/>
                <w:color w:val="auto"/>
                <w:sz w:val="20"/>
                <w:szCs w:val="20"/>
              </w:rPr>
              <w:t>3</w:t>
            </w:r>
            <w:r>
              <w:rPr>
                <w:rFonts w:hint="eastAsia" w:asciiTheme="minorEastAsia" w:hAnsiTheme="minorEastAsia" w:eastAsiaTheme="minorEastAsia"/>
                <w:color w:val="auto"/>
                <w:sz w:val="20"/>
                <w:szCs w:val="20"/>
              </w:rPr>
              <w:t>年1</w:t>
            </w:r>
            <w:r>
              <w:rPr>
                <w:rFonts w:asciiTheme="minorEastAsia" w:hAnsiTheme="minorEastAsia" w:eastAsiaTheme="minorEastAsia"/>
                <w:color w:val="auto"/>
                <w:sz w:val="20"/>
                <w:szCs w:val="20"/>
              </w:rPr>
              <w:t>2</w:t>
            </w:r>
            <w:r>
              <w:rPr>
                <w:rFonts w:hint="eastAsia" w:asciiTheme="minorEastAsia" w:hAnsiTheme="minorEastAsia" w:eastAsiaTheme="minorEastAsia"/>
                <w:color w:val="auto"/>
                <w:sz w:val="20"/>
                <w:szCs w:val="20"/>
              </w:rPr>
              <w:t>月完成</w:t>
            </w:r>
          </w:p>
        </w:tc>
        <w:tc>
          <w:tcPr>
            <w:tcW w:w="1312" w:type="pct"/>
            <w:vAlign w:val="center"/>
          </w:tcPr>
          <w:p w14:paraId="4AB32E7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因项目启动时间较晚，合同签订时间为2023年9月，导致未能按时完成报告</w:t>
            </w:r>
          </w:p>
        </w:tc>
      </w:tr>
      <w:tr w14:paraId="3F66A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4" w:hRule="atLeast"/>
        </w:trPr>
        <w:tc>
          <w:tcPr>
            <w:tcW w:w="280" w:type="pct"/>
            <w:vAlign w:val="center"/>
          </w:tcPr>
          <w:p w14:paraId="1D97F094">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2</w:t>
            </w:r>
          </w:p>
        </w:tc>
        <w:tc>
          <w:tcPr>
            <w:tcW w:w="945" w:type="pct"/>
            <w:vAlign w:val="center"/>
          </w:tcPr>
          <w:p w14:paraId="6A78AD1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“放管服”改革研究和政策兑现核查服务</w:t>
            </w:r>
          </w:p>
        </w:tc>
        <w:tc>
          <w:tcPr>
            <w:tcW w:w="1429" w:type="pct"/>
            <w:vAlign w:val="center"/>
          </w:tcPr>
          <w:p w14:paraId="037AA2C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asciiTheme="minorEastAsia" w:hAnsiTheme="minorEastAsia" w:eastAsiaTheme="minorEastAsia"/>
                <w:color w:val="auto"/>
                <w:sz w:val="20"/>
                <w:szCs w:val="20"/>
              </w:rPr>
              <w:t>11</w:t>
            </w:r>
            <w:r>
              <w:rPr>
                <w:rFonts w:hint="eastAsia" w:asciiTheme="minorEastAsia" w:hAnsiTheme="minorEastAsia" w:eastAsiaTheme="minorEastAsia"/>
                <w:color w:val="auto"/>
                <w:sz w:val="20"/>
                <w:szCs w:val="20"/>
              </w:rPr>
              <w:t>月底前完成《2023年北京“放管服”改革调研报告</w:t>
            </w:r>
            <w:r>
              <w:rPr>
                <w:rFonts w:hint="eastAsia" w:asciiTheme="minorEastAsia" w:hAnsiTheme="minorEastAsia" w:eastAsiaTheme="minorEastAsia"/>
                <w:color w:val="auto"/>
                <w:sz w:val="20"/>
                <w:szCs w:val="20"/>
                <w:lang w:eastAsia="zh-CN"/>
              </w:rPr>
              <w:t>》《</w:t>
            </w:r>
            <w:r>
              <w:rPr>
                <w:rFonts w:hint="eastAsia" w:asciiTheme="minorEastAsia" w:hAnsiTheme="minorEastAsia" w:eastAsiaTheme="minorEastAsia"/>
                <w:color w:val="auto"/>
                <w:sz w:val="20"/>
                <w:szCs w:val="20"/>
              </w:rPr>
              <w:t>北京市2023“放管服”改革理论研究报告》；1</w:t>
            </w:r>
            <w:r>
              <w:rPr>
                <w:rFonts w:asciiTheme="minorEastAsia" w:hAnsiTheme="minorEastAsia" w:eastAsiaTheme="minorEastAsia"/>
                <w:color w:val="auto"/>
                <w:sz w:val="20"/>
                <w:szCs w:val="20"/>
              </w:rPr>
              <w:t>0</w:t>
            </w:r>
            <w:r>
              <w:rPr>
                <w:rFonts w:hint="eastAsia" w:asciiTheme="minorEastAsia" w:hAnsiTheme="minorEastAsia" w:eastAsiaTheme="minorEastAsia"/>
                <w:color w:val="auto"/>
                <w:sz w:val="20"/>
                <w:szCs w:val="20"/>
              </w:rPr>
              <w:t>月底前完成召开“放管服”政策研究专家座谈会</w:t>
            </w:r>
          </w:p>
        </w:tc>
        <w:tc>
          <w:tcPr>
            <w:tcW w:w="1030" w:type="pct"/>
            <w:vAlign w:val="center"/>
          </w:tcPr>
          <w:p w14:paraId="34F90858">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1</w:t>
            </w:r>
            <w:r>
              <w:rPr>
                <w:rFonts w:asciiTheme="minorEastAsia" w:hAnsiTheme="minorEastAsia" w:eastAsiaTheme="minorEastAsia"/>
                <w:color w:val="auto"/>
                <w:sz w:val="20"/>
                <w:szCs w:val="20"/>
              </w:rPr>
              <w:t>2</w:t>
            </w:r>
            <w:r>
              <w:rPr>
                <w:rFonts w:hint="eastAsia" w:asciiTheme="minorEastAsia" w:hAnsiTheme="minorEastAsia" w:eastAsiaTheme="minorEastAsia"/>
                <w:color w:val="auto"/>
                <w:sz w:val="20"/>
                <w:szCs w:val="20"/>
              </w:rPr>
              <w:t>月底前完成了《2023年北京“放管服”改革调研报告</w:t>
            </w:r>
            <w:r>
              <w:rPr>
                <w:rFonts w:hint="eastAsia" w:asciiTheme="minorEastAsia" w:hAnsiTheme="minorEastAsia" w:eastAsiaTheme="minorEastAsia"/>
                <w:color w:val="auto"/>
                <w:sz w:val="20"/>
                <w:szCs w:val="20"/>
                <w:lang w:eastAsia="zh-CN"/>
              </w:rPr>
              <w:t>》《</w:t>
            </w:r>
            <w:r>
              <w:rPr>
                <w:rFonts w:hint="eastAsia" w:asciiTheme="minorEastAsia" w:hAnsiTheme="minorEastAsia" w:eastAsiaTheme="minorEastAsia"/>
                <w:color w:val="auto"/>
                <w:sz w:val="20"/>
                <w:szCs w:val="20"/>
              </w:rPr>
              <w:t>北京市2023“放管服”改革理论研究报告》；1</w:t>
            </w:r>
            <w:r>
              <w:rPr>
                <w:rFonts w:asciiTheme="minorEastAsia" w:hAnsiTheme="minorEastAsia" w:eastAsiaTheme="minorEastAsia"/>
                <w:color w:val="auto"/>
                <w:sz w:val="20"/>
                <w:szCs w:val="20"/>
              </w:rPr>
              <w:t>1</w:t>
            </w:r>
            <w:r>
              <w:rPr>
                <w:rFonts w:hint="eastAsia" w:asciiTheme="minorEastAsia" w:hAnsiTheme="minorEastAsia" w:eastAsiaTheme="minorEastAsia"/>
                <w:color w:val="auto"/>
                <w:sz w:val="20"/>
                <w:szCs w:val="20"/>
              </w:rPr>
              <w:t>月底前完成了召开“放管服”政策研究专家座谈会</w:t>
            </w:r>
          </w:p>
        </w:tc>
        <w:tc>
          <w:tcPr>
            <w:tcW w:w="1312" w:type="pct"/>
            <w:vAlign w:val="center"/>
          </w:tcPr>
          <w:p w14:paraId="549E9C7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lang w:val="en-US" w:eastAsia="zh-CN"/>
              </w:rPr>
              <w:t>因程序把控不够严谨，</w:t>
            </w:r>
            <w:r>
              <w:rPr>
                <w:rFonts w:hint="eastAsia" w:asciiTheme="minorEastAsia" w:hAnsiTheme="minorEastAsia" w:eastAsiaTheme="minorEastAsia"/>
                <w:color w:val="auto"/>
                <w:sz w:val="20"/>
                <w:szCs w:val="20"/>
              </w:rPr>
              <w:t>进度稍迟缓，报告、座谈等完成时间晚于计划时间</w:t>
            </w:r>
          </w:p>
        </w:tc>
      </w:tr>
      <w:tr w14:paraId="38557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4" w:hRule="atLeast"/>
        </w:trPr>
        <w:tc>
          <w:tcPr>
            <w:tcW w:w="280" w:type="pct"/>
            <w:vAlign w:val="center"/>
          </w:tcPr>
          <w:p w14:paraId="32D44B86">
            <w:pPr>
              <w:keepNext w:val="0"/>
              <w:keepLines w:val="0"/>
              <w:suppressLineNumbers w:val="0"/>
              <w:adjustRightInd w:val="0"/>
              <w:snapToGrid w:val="0"/>
              <w:spacing w:before="0" w:beforeAutospacing="0" w:after="0" w:afterAutospacing="0"/>
              <w:ind w:left="0" w:right="0" w:firstLine="40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33</w:t>
            </w:r>
          </w:p>
        </w:tc>
        <w:tc>
          <w:tcPr>
            <w:tcW w:w="945" w:type="pct"/>
            <w:vAlign w:val="center"/>
          </w:tcPr>
          <w:p w14:paraId="6DE3C123">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北京市政府信息和政务公开工作第三方评估服务</w:t>
            </w:r>
          </w:p>
        </w:tc>
        <w:tc>
          <w:tcPr>
            <w:tcW w:w="1429" w:type="pct"/>
            <w:vAlign w:val="center"/>
          </w:tcPr>
          <w:p w14:paraId="27466445">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asciiTheme="minorEastAsia" w:hAnsiTheme="minorEastAsia" w:eastAsiaTheme="minorEastAsia"/>
                <w:color w:val="auto"/>
                <w:sz w:val="20"/>
                <w:szCs w:val="20"/>
              </w:rPr>
              <w:t>6</w:t>
            </w:r>
            <w:r>
              <w:rPr>
                <w:rFonts w:hint="eastAsia" w:asciiTheme="minorEastAsia" w:hAnsiTheme="minorEastAsia" w:eastAsiaTheme="minorEastAsia"/>
                <w:color w:val="auto"/>
                <w:sz w:val="20"/>
                <w:szCs w:val="20"/>
              </w:rPr>
              <w:t>月底前完成签订项目委托服务合同</w:t>
            </w:r>
          </w:p>
        </w:tc>
        <w:tc>
          <w:tcPr>
            <w:tcW w:w="1030" w:type="pct"/>
            <w:vAlign w:val="center"/>
          </w:tcPr>
          <w:p w14:paraId="54104770">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w:t>
            </w:r>
            <w:r>
              <w:rPr>
                <w:rFonts w:asciiTheme="minorEastAsia" w:hAnsiTheme="minorEastAsia" w:eastAsiaTheme="minorEastAsia"/>
                <w:color w:val="auto"/>
                <w:sz w:val="20"/>
                <w:szCs w:val="20"/>
              </w:rPr>
              <w:t>7</w:t>
            </w:r>
            <w:r>
              <w:rPr>
                <w:rFonts w:hint="eastAsia" w:asciiTheme="minorEastAsia" w:hAnsiTheme="minorEastAsia" w:eastAsiaTheme="minorEastAsia"/>
                <w:color w:val="auto"/>
                <w:sz w:val="20"/>
                <w:szCs w:val="20"/>
              </w:rPr>
              <w:t>月底前完成</w:t>
            </w:r>
          </w:p>
        </w:tc>
        <w:tc>
          <w:tcPr>
            <w:tcW w:w="1312" w:type="pct"/>
            <w:vAlign w:val="center"/>
          </w:tcPr>
          <w:p w14:paraId="62CA1B3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因局主要领导调整，上党组会时间推迟，故所有环节都被迫往后推迟至7月份才签订合同支付首款</w:t>
            </w:r>
          </w:p>
        </w:tc>
      </w:tr>
      <w:tr w14:paraId="7CA1F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8" w:hRule="atLeast"/>
        </w:trPr>
        <w:tc>
          <w:tcPr>
            <w:tcW w:w="280" w:type="pct"/>
            <w:vAlign w:val="center"/>
          </w:tcPr>
          <w:p w14:paraId="08234B87">
            <w:pPr>
              <w:keepNext w:val="0"/>
              <w:keepLines w:val="0"/>
              <w:suppressLineNumbers w:val="0"/>
              <w:adjustRightInd w:val="0"/>
              <w:snapToGrid w:val="0"/>
              <w:spacing w:before="0" w:beforeAutospacing="0" w:after="0" w:afterAutospacing="0"/>
              <w:ind w:left="0" w:right="0" w:firstLine="40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44</w:t>
            </w:r>
          </w:p>
        </w:tc>
        <w:tc>
          <w:tcPr>
            <w:tcW w:w="945" w:type="pct"/>
            <w:vAlign w:val="center"/>
          </w:tcPr>
          <w:p w14:paraId="5656E828">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北京市服务中央单位和驻京部队工作满意度调查服务</w:t>
            </w:r>
          </w:p>
        </w:tc>
        <w:tc>
          <w:tcPr>
            <w:tcW w:w="1429" w:type="pct"/>
            <w:vAlign w:val="center"/>
          </w:tcPr>
          <w:p w14:paraId="2468622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6月底前评价指标体系确定</w:t>
            </w:r>
          </w:p>
        </w:tc>
        <w:tc>
          <w:tcPr>
            <w:tcW w:w="1030" w:type="pct"/>
            <w:vAlign w:val="center"/>
          </w:tcPr>
          <w:p w14:paraId="54DBCAA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实际7月底前完成</w:t>
            </w:r>
          </w:p>
        </w:tc>
        <w:tc>
          <w:tcPr>
            <w:tcW w:w="1312" w:type="pct"/>
            <w:vAlign w:val="center"/>
          </w:tcPr>
          <w:p w14:paraId="04ACAFD4">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由于局内各项目实施需要总体统筹，导致本项目未能按照原计划的时间安排推进，6月份未能完成指标体系设计</w:t>
            </w:r>
          </w:p>
        </w:tc>
      </w:tr>
      <w:tr w14:paraId="3E02F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6" w:hRule="atLeast"/>
        </w:trPr>
        <w:tc>
          <w:tcPr>
            <w:tcW w:w="280" w:type="pct"/>
            <w:vAlign w:val="center"/>
          </w:tcPr>
          <w:p w14:paraId="75B03D60">
            <w:pPr>
              <w:keepNext w:val="0"/>
              <w:keepLines w:val="0"/>
              <w:suppressLineNumbers w:val="0"/>
              <w:adjustRightInd w:val="0"/>
              <w:snapToGrid w:val="0"/>
              <w:spacing w:before="0" w:beforeAutospacing="0" w:after="0" w:afterAutospacing="0"/>
              <w:ind w:left="0" w:right="0" w:firstLine="40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55</w:t>
            </w:r>
          </w:p>
        </w:tc>
        <w:tc>
          <w:tcPr>
            <w:tcW w:w="945" w:type="pct"/>
            <w:vAlign w:val="center"/>
          </w:tcPr>
          <w:p w14:paraId="1EC11EE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中央单位联系人座谈会议服务</w:t>
            </w:r>
          </w:p>
        </w:tc>
        <w:tc>
          <w:tcPr>
            <w:tcW w:w="1429" w:type="pct"/>
            <w:vAlign w:val="center"/>
          </w:tcPr>
          <w:p w14:paraId="7427EAF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7月底前完成座谈会召开和资金支付</w:t>
            </w:r>
          </w:p>
        </w:tc>
        <w:tc>
          <w:tcPr>
            <w:tcW w:w="1030" w:type="pct"/>
            <w:vAlign w:val="center"/>
          </w:tcPr>
          <w:p w14:paraId="37EBE39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w:t>
            </w:r>
            <w:r>
              <w:rPr>
                <w:rFonts w:asciiTheme="minorEastAsia" w:hAnsiTheme="minorEastAsia" w:eastAsiaTheme="minorEastAsia"/>
                <w:color w:val="auto"/>
                <w:sz w:val="20"/>
                <w:szCs w:val="20"/>
              </w:rPr>
              <w:t>8</w:t>
            </w:r>
            <w:r>
              <w:rPr>
                <w:rFonts w:hint="eastAsia" w:asciiTheme="minorEastAsia" w:hAnsiTheme="minorEastAsia" w:eastAsiaTheme="minorEastAsia"/>
                <w:color w:val="auto"/>
                <w:sz w:val="20"/>
                <w:szCs w:val="20"/>
              </w:rPr>
              <w:t>月底前完成座谈会召开，9月底前完成资金支付</w:t>
            </w:r>
          </w:p>
        </w:tc>
        <w:tc>
          <w:tcPr>
            <w:tcW w:w="1312" w:type="pct"/>
            <w:vAlign w:val="center"/>
          </w:tcPr>
          <w:p w14:paraId="42507D5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因与中央单位和市属部门确定会议方案，根据需要调整时间导致本项目未能按照原计划的时间安排推进，7月份未能完成座谈会召开</w:t>
            </w:r>
          </w:p>
        </w:tc>
      </w:tr>
      <w:tr w14:paraId="3BA87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trPr>
        <w:tc>
          <w:tcPr>
            <w:tcW w:w="280" w:type="pct"/>
            <w:vAlign w:val="center"/>
          </w:tcPr>
          <w:p w14:paraId="23BE1887">
            <w:pPr>
              <w:keepNext w:val="0"/>
              <w:keepLines w:val="0"/>
              <w:suppressLineNumbers w:val="0"/>
              <w:adjustRightInd w:val="0"/>
              <w:snapToGrid w:val="0"/>
              <w:spacing w:before="0" w:beforeAutospacing="0" w:after="0" w:afterAutospacing="0"/>
              <w:ind w:left="0" w:right="0" w:firstLine="40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66</w:t>
            </w:r>
          </w:p>
        </w:tc>
        <w:tc>
          <w:tcPr>
            <w:tcW w:w="945" w:type="pct"/>
            <w:vAlign w:val="center"/>
          </w:tcPr>
          <w:p w14:paraId="176C0E4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北京市政府国际版门户网站葡萄牙语版运营服务</w:t>
            </w:r>
          </w:p>
        </w:tc>
        <w:tc>
          <w:tcPr>
            <w:tcW w:w="1429" w:type="pct"/>
            <w:vAlign w:val="center"/>
          </w:tcPr>
          <w:p w14:paraId="5330D69F">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运营服务保障时长8月；验收完成后资金支付时间≤9月</w:t>
            </w:r>
          </w:p>
        </w:tc>
        <w:tc>
          <w:tcPr>
            <w:tcW w:w="1030" w:type="pct"/>
            <w:vAlign w:val="center"/>
          </w:tcPr>
          <w:p w14:paraId="45BD7236">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实际运营服务保障时长</w:t>
            </w:r>
            <w:r>
              <w:rPr>
                <w:rFonts w:asciiTheme="minorEastAsia" w:hAnsiTheme="minorEastAsia" w:eastAsiaTheme="minorEastAsia"/>
                <w:color w:val="auto"/>
                <w:sz w:val="20"/>
                <w:szCs w:val="20"/>
              </w:rPr>
              <w:t>4</w:t>
            </w:r>
            <w:r>
              <w:rPr>
                <w:rFonts w:hint="eastAsia" w:asciiTheme="minorEastAsia" w:hAnsiTheme="minorEastAsia" w:eastAsiaTheme="minorEastAsia"/>
                <w:color w:val="auto"/>
                <w:sz w:val="20"/>
                <w:szCs w:val="20"/>
              </w:rPr>
              <w:t>月；首款已于</w:t>
            </w:r>
            <w:r>
              <w:rPr>
                <w:rFonts w:hint="eastAsia" w:asciiTheme="minorEastAsia" w:hAnsiTheme="minorEastAsia" w:eastAsiaTheme="minorEastAsia"/>
                <w:color w:val="auto"/>
                <w:sz w:val="20"/>
                <w:szCs w:val="20"/>
                <w:lang w:val="en-US" w:eastAsia="zh-CN"/>
              </w:rPr>
              <w:t>2024年</w:t>
            </w:r>
            <w:r>
              <w:rPr>
                <w:rFonts w:hint="eastAsia" w:asciiTheme="minorEastAsia" w:hAnsiTheme="minorEastAsia" w:eastAsiaTheme="minorEastAsia"/>
                <w:color w:val="auto"/>
                <w:sz w:val="20"/>
                <w:szCs w:val="20"/>
              </w:rPr>
              <w:t>3月支付，尾款计划于</w:t>
            </w:r>
            <w:r>
              <w:rPr>
                <w:rFonts w:hint="eastAsia" w:asciiTheme="minorEastAsia" w:hAnsiTheme="minorEastAsia" w:eastAsiaTheme="minorEastAsia"/>
                <w:color w:val="auto"/>
                <w:sz w:val="20"/>
                <w:szCs w:val="20"/>
                <w:lang w:val="en-US" w:eastAsia="zh-CN"/>
              </w:rPr>
              <w:t>2024年</w:t>
            </w:r>
            <w:r>
              <w:rPr>
                <w:rFonts w:hint="eastAsia" w:asciiTheme="minorEastAsia" w:hAnsiTheme="minorEastAsia" w:eastAsiaTheme="minorEastAsia"/>
                <w:color w:val="auto"/>
                <w:sz w:val="20"/>
                <w:szCs w:val="20"/>
              </w:rPr>
              <w:t>9月（验收工作完成后）支付</w:t>
            </w:r>
          </w:p>
        </w:tc>
        <w:tc>
          <w:tcPr>
            <w:tcW w:w="1312" w:type="pct"/>
            <w:vAlign w:val="center"/>
          </w:tcPr>
          <w:p w14:paraId="543D19C5">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lang w:val="en-US" w:eastAsia="zh-CN"/>
              </w:rPr>
              <w:t>年中追加项目，因前期程序较长，</w:t>
            </w:r>
            <w:r>
              <w:rPr>
                <w:rFonts w:hint="eastAsia" w:asciiTheme="minorEastAsia" w:hAnsiTheme="minorEastAsia" w:eastAsiaTheme="minorEastAsia"/>
                <w:color w:val="auto"/>
                <w:sz w:val="20"/>
                <w:szCs w:val="20"/>
              </w:rPr>
              <w:t>本项目周期为2024年1月至9月，共8个月，截至目前，已实施4个月，暂无法进行验收、资金支付</w:t>
            </w:r>
          </w:p>
        </w:tc>
      </w:tr>
      <w:tr w14:paraId="03D25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3" w:hRule="atLeast"/>
        </w:trPr>
        <w:tc>
          <w:tcPr>
            <w:tcW w:w="280" w:type="pct"/>
            <w:vAlign w:val="center"/>
          </w:tcPr>
          <w:p w14:paraId="5EC45784">
            <w:pPr>
              <w:keepNext w:val="0"/>
              <w:keepLines w:val="0"/>
              <w:suppressLineNumbers w:val="0"/>
              <w:adjustRightInd w:val="0"/>
              <w:snapToGrid w:val="0"/>
              <w:spacing w:before="0" w:beforeAutospacing="0" w:after="0" w:afterAutospacing="0"/>
              <w:ind w:left="0" w:right="0" w:firstLine="40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lang w:val="en-US" w:eastAsia="zh-CN"/>
              </w:rPr>
              <w:t>77</w:t>
            </w:r>
          </w:p>
        </w:tc>
        <w:tc>
          <w:tcPr>
            <w:tcW w:w="945" w:type="pct"/>
            <w:vAlign w:val="center"/>
          </w:tcPr>
          <w:p w14:paraId="48E61DE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局数据安全监管服务</w:t>
            </w:r>
          </w:p>
        </w:tc>
        <w:tc>
          <w:tcPr>
            <w:tcW w:w="1429" w:type="pct"/>
            <w:vAlign w:val="center"/>
          </w:tcPr>
          <w:p w14:paraId="72F9C97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lang w:val="en-US" w:eastAsia="zh-CN"/>
              </w:rPr>
              <w:t>3</w:t>
            </w:r>
            <w:r>
              <w:rPr>
                <w:rFonts w:hint="eastAsia" w:asciiTheme="minorEastAsia" w:hAnsiTheme="minorEastAsia" w:eastAsiaTheme="minorEastAsia"/>
                <w:color w:val="auto"/>
                <w:sz w:val="20"/>
                <w:szCs w:val="20"/>
              </w:rPr>
              <w:t>月底前支付完成本年度合同尾款</w:t>
            </w:r>
          </w:p>
        </w:tc>
        <w:tc>
          <w:tcPr>
            <w:tcW w:w="1030" w:type="pct"/>
            <w:vAlign w:val="center"/>
          </w:tcPr>
          <w:p w14:paraId="65F98990">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实际于</w:t>
            </w:r>
            <w:r>
              <w:rPr>
                <w:rFonts w:asciiTheme="minorEastAsia" w:hAnsiTheme="minorEastAsia" w:eastAsiaTheme="minorEastAsia"/>
                <w:color w:val="auto"/>
                <w:sz w:val="20"/>
                <w:szCs w:val="20"/>
              </w:rPr>
              <w:t>12</w:t>
            </w:r>
            <w:r>
              <w:rPr>
                <w:rFonts w:hint="eastAsia" w:asciiTheme="minorEastAsia" w:hAnsiTheme="minorEastAsia" w:eastAsiaTheme="minorEastAsia"/>
                <w:color w:val="auto"/>
                <w:sz w:val="20"/>
                <w:szCs w:val="20"/>
              </w:rPr>
              <w:t>月底前支付完成本年度合同尾款</w:t>
            </w:r>
          </w:p>
        </w:tc>
        <w:tc>
          <w:tcPr>
            <w:tcW w:w="1312" w:type="pct"/>
            <w:vAlign w:val="center"/>
          </w:tcPr>
          <w:p w14:paraId="77630C5F">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受疫情等原因的影响，导致项目合同2022年12月份签订，项目周期整体后移，因此支付合同尾款时间为2023年12月底</w:t>
            </w:r>
          </w:p>
        </w:tc>
      </w:tr>
      <w:tr w14:paraId="21EBA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8" w:hRule="atLeast"/>
        </w:trPr>
        <w:tc>
          <w:tcPr>
            <w:tcW w:w="280" w:type="pct"/>
            <w:vAlign w:val="center"/>
          </w:tcPr>
          <w:p w14:paraId="34976DEF">
            <w:pPr>
              <w:keepNext w:val="0"/>
              <w:keepLines w:val="0"/>
              <w:suppressLineNumbers w:val="0"/>
              <w:adjustRightInd w:val="0"/>
              <w:snapToGrid w:val="0"/>
              <w:spacing w:before="0" w:beforeAutospacing="0" w:after="0" w:afterAutospacing="0"/>
              <w:ind w:left="0" w:right="0" w:firstLine="400"/>
              <w:jc w:val="center"/>
              <w:rPr>
                <w:rFonts w:hint="default" w:asciiTheme="minorEastAsia" w:hAnsiTheme="minorEastAsia" w:eastAsiaTheme="minorEastAsia"/>
                <w:color w:val="auto"/>
                <w:sz w:val="20"/>
                <w:szCs w:val="20"/>
                <w:lang w:val="en-US"/>
              </w:rPr>
            </w:pPr>
            <w:r>
              <w:rPr>
                <w:rFonts w:hint="eastAsia" w:asciiTheme="minorEastAsia" w:hAnsiTheme="minorEastAsia" w:eastAsiaTheme="minorEastAsia"/>
                <w:color w:val="auto"/>
                <w:sz w:val="20"/>
                <w:szCs w:val="20"/>
                <w:lang w:val="en-US" w:eastAsia="zh-CN"/>
              </w:rPr>
              <w:t>88</w:t>
            </w:r>
          </w:p>
        </w:tc>
        <w:tc>
          <w:tcPr>
            <w:tcW w:w="945" w:type="pct"/>
            <w:vAlign w:val="center"/>
          </w:tcPr>
          <w:p w14:paraId="40A2D6E6">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数字服务平台升级改造</w:t>
            </w:r>
          </w:p>
        </w:tc>
        <w:tc>
          <w:tcPr>
            <w:tcW w:w="1429" w:type="pct"/>
            <w:vAlign w:val="center"/>
          </w:tcPr>
          <w:p w14:paraId="57D6BD99">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3月底前完成试运行时长；1</w:t>
            </w:r>
            <w:r>
              <w:rPr>
                <w:rFonts w:asciiTheme="minorEastAsia" w:hAnsiTheme="minorEastAsia" w:eastAsiaTheme="minorEastAsia"/>
                <w:color w:val="auto"/>
                <w:sz w:val="20"/>
                <w:szCs w:val="20"/>
              </w:rPr>
              <w:t>2</w:t>
            </w:r>
            <w:r>
              <w:rPr>
                <w:rFonts w:hint="eastAsia" w:asciiTheme="minorEastAsia" w:hAnsiTheme="minorEastAsia" w:eastAsiaTheme="minorEastAsia"/>
                <w:color w:val="auto"/>
                <w:sz w:val="20"/>
                <w:szCs w:val="20"/>
              </w:rPr>
              <w:t>月底前完成尾款支付</w:t>
            </w:r>
          </w:p>
        </w:tc>
        <w:tc>
          <w:tcPr>
            <w:tcW w:w="1030" w:type="pct"/>
            <w:vAlign w:val="center"/>
          </w:tcPr>
          <w:p w14:paraId="70DEEAD5">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实际暂未开始试运行；暂未支付合同尾款</w:t>
            </w:r>
          </w:p>
        </w:tc>
        <w:tc>
          <w:tcPr>
            <w:tcW w:w="1312" w:type="pct"/>
            <w:vAlign w:val="center"/>
          </w:tcPr>
          <w:p w14:paraId="401926FD">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lang w:eastAsia="zh-CN"/>
              </w:rPr>
              <w:t>因</w:t>
            </w:r>
            <w:r>
              <w:rPr>
                <w:rFonts w:hint="eastAsia" w:asciiTheme="minorEastAsia" w:hAnsiTheme="minorEastAsia" w:eastAsiaTheme="minorEastAsia"/>
                <w:color w:val="auto"/>
                <w:sz w:val="20"/>
                <w:szCs w:val="20"/>
              </w:rPr>
              <w:t>项目的技评和财评时间周期较长，合同签订时间较23年年初计划时间延迟，系统整体性初验时间滞后，暂未开始试运行和尾款支付</w:t>
            </w:r>
          </w:p>
        </w:tc>
      </w:tr>
      <w:tr w14:paraId="75775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 w:type="pct"/>
            <w:vAlign w:val="center"/>
          </w:tcPr>
          <w:p w14:paraId="3BC8EC8E">
            <w:pPr>
              <w:keepNext w:val="0"/>
              <w:keepLines w:val="0"/>
              <w:suppressLineNumbers w:val="0"/>
              <w:adjustRightInd w:val="0"/>
              <w:snapToGrid w:val="0"/>
              <w:spacing w:before="0" w:beforeAutospacing="0" w:after="0" w:afterAutospacing="0"/>
              <w:ind w:left="0" w:right="0" w:firstLine="400"/>
              <w:jc w:val="center"/>
              <w:rPr>
                <w:rFonts w:hint="eastAsia" w:asciiTheme="minorEastAsia" w:hAnsiTheme="minorEastAsia" w:eastAsiaTheme="minorEastAsia"/>
                <w:color w:val="auto"/>
                <w:sz w:val="20"/>
                <w:szCs w:val="20"/>
                <w:lang w:eastAsia="zh-CN"/>
              </w:rPr>
            </w:pPr>
            <w:r>
              <w:rPr>
                <w:rFonts w:hint="eastAsia" w:asciiTheme="minorEastAsia" w:hAnsiTheme="minorEastAsia" w:eastAsiaTheme="minorEastAsia"/>
                <w:color w:val="auto"/>
                <w:sz w:val="20"/>
                <w:szCs w:val="20"/>
              </w:rPr>
              <w:t>1</w:t>
            </w:r>
            <w:r>
              <w:rPr>
                <w:rFonts w:hint="eastAsia" w:asciiTheme="minorEastAsia" w:hAnsiTheme="minorEastAsia" w:eastAsiaTheme="minorEastAsia"/>
                <w:color w:val="auto"/>
                <w:sz w:val="20"/>
                <w:szCs w:val="20"/>
                <w:lang w:val="en-US" w:eastAsia="zh-CN"/>
              </w:rPr>
              <w:t>9</w:t>
            </w:r>
          </w:p>
        </w:tc>
        <w:tc>
          <w:tcPr>
            <w:tcW w:w="945" w:type="pct"/>
            <w:vAlign w:val="center"/>
          </w:tcPr>
          <w:p w14:paraId="15C222C2">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数字服务平台运营服务</w:t>
            </w:r>
          </w:p>
        </w:tc>
        <w:tc>
          <w:tcPr>
            <w:tcW w:w="1429" w:type="pct"/>
            <w:vAlign w:val="center"/>
          </w:tcPr>
          <w:p w14:paraId="036CFB0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12月底前完成资金支付</w:t>
            </w:r>
          </w:p>
        </w:tc>
        <w:tc>
          <w:tcPr>
            <w:tcW w:w="1030" w:type="pct"/>
            <w:vAlign w:val="center"/>
          </w:tcPr>
          <w:p w14:paraId="4C8880D1">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实际正在推进中，首款于2023年12月支付，中期款于2024年6月支付，尾款拟于2024年12月支付</w:t>
            </w:r>
          </w:p>
        </w:tc>
        <w:tc>
          <w:tcPr>
            <w:tcW w:w="1312" w:type="pct"/>
            <w:vAlign w:val="center"/>
          </w:tcPr>
          <w:p w14:paraId="7C89103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因运营服务项目财评时间周期较长，已在23年度12月下旬，合同签订时间较23年年初计划时间延迟，项目整体验收时间滞后，2023年度内尚未完成资金支付</w:t>
            </w:r>
          </w:p>
        </w:tc>
      </w:tr>
      <w:tr w14:paraId="1085C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 w:type="pct"/>
            <w:vAlign w:val="center"/>
          </w:tcPr>
          <w:p w14:paraId="5727001E">
            <w:pPr>
              <w:keepNext w:val="0"/>
              <w:keepLines w:val="0"/>
              <w:suppressLineNumbers w:val="0"/>
              <w:adjustRightInd w:val="0"/>
              <w:snapToGrid w:val="0"/>
              <w:spacing w:before="0" w:beforeAutospacing="0" w:after="0" w:afterAutospacing="0"/>
              <w:ind w:left="0" w:right="0" w:firstLine="40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rPr>
              <w:t>1</w:t>
            </w:r>
            <w:r>
              <w:rPr>
                <w:rFonts w:hint="eastAsia" w:asciiTheme="minorEastAsia" w:hAnsiTheme="minorEastAsia" w:eastAsiaTheme="minorEastAsia"/>
                <w:color w:val="auto"/>
                <w:sz w:val="20"/>
                <w:szCs w:val="20"/>
                <w:lang w:val="en-US" w:eastAsia="zh-CN"/>
              </w:rPr>
              <w:t>10</w:t>
            </w:r>
          </w:p>
        </w:tc>
        <w:tc>
          <w:tcPr>
            <w:tcW w:w="945" w:type="pct"/>
            <w:vAlign w:val="center"/>
          </w:tcPr>
          <w:p w14:paraId="6CDA5E3B">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北京市政务服务多渠道移动端建设</w:t>
            </w:r>
          </w:p>
        </w:tc>
        <w:tc>
          <w:tcPr>
            <w:tcW w:w="1429" w:type="pct"/>
            <w:vAlign w:val="center"/>
          </w:tcPr>
          <w:p w14:paraId="1DA726B1">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lang w:val="en-US" w:eastAsia="zh-CN"/>
              </w:rPr>
              <w:t>2023年</w:t>
            </w:r>
            <w:r>
              <w:rPr>
                <w:rFonts w:hint="eastAsia" w:asciiTheme="minorEastAsia" w:hAnsiTheme="minorEastAsia" w:eastAsiaTheme="minorEastAsia"/>
                <w:color w:val="auto"/>
                <w:sz w:val="20"/>
                <w:szCs w:val="20"/>
              </w:rPr>
              <w:t>5月底前完成竣工决算</w:t>
            </w:r>
          </w:p>
        </w:tc>
        <w:tc>
          <w:tcPr>
            <w:tcW w:w="1030" w:type="pct"/>
            <w:vAlign w:val="center"/>
          </w:tcPr>
          <w:p w14:paraId="7C44FF5A">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实际2</w:t>
            </w:r>
            <w:r>
              <w:rPr>
                <w:rFonts w:asciiTheme="minorEastAsia" w:hAnsiTheme="minorEastAsia" w:eastAsiaTheme="minorEastAsia"/>
                <w:color w:val="auto"/>
                <w:sz w:val="20"/>
                <w:szCs w:val="20"/>
              </w:rPr>
              <w:t>024</w:t>
            </w:r>
            <w:r>
              <w:rPr>
                <w:rFonts w:hint="eastAsia" w:asciiTheme="minorEastAsia" w:hAnsiTheme="minorEastAsia" w:eastAsiaTheme="minorEastAsia"/>
                <w:color w:val="auto"/>
                <w:sz w:val="20"/>
                <w:szCs w:val="20"/>
              </w:rPr>
              <w:t>年3月底前完成竣工结算</w:t>
            </w:r>
          </w:p>
        </w:tc>
        <w:tc>
          <w:tcPr>
            <w:tcW w:w="1312" w:type="pct"/>
            <w:vAlign w:val="center"/>
          </w:tcPr>
          <w:p w14:paraId="4C8589B5">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市财政局竣工决算批复需要时间</w:t>
            </w:r>
          </w:p>
        </w:tc>
      </w:tr>
      <w:tr w14:paraId="62F61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 w:type="pct"/>
            <w:vAlign w:val="center"/>
          </w:tcPr>
          <w:p w14:paraId="5A005D7D">
            <w:pPr>
              <w:keepNext w:val="0"/>
              <w:keepLines w:val="0"/>
              <w:suppressLineNumbers w:val="0"/>
              <w:adjustRightInd w:val="0"/>
              <w:snapToGrid w:val="0"/>
              <w:spacing w:before="0" w:beforeAutospacing="0" w:after="0" w:afterAutospacing="0"/>
              <w:ind w:left="0" w:right="0" w:firstLine="40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rPr>
              <w:t>1</w:t>
            </w:r>
            <w:r>
              <w:rPr>
                <w:rFonts w:hint="eastAsia" w:asciiTheme="minorEastAsia" w:hAnsiTheme="minorEastAsia" w:eastAsiaTheme="minorEastAsia"/>
                <w:color w:val="auto"/>
                <w:sz w:val="20"/>
                <w:szCs w:val="20"/>
                <w:lang w:val="en-US" w:eastAsia="zh-CN"/>
              </w:rPr>
              <w:t>12</w:t>
            </w:r>
          </w:p>
        </w:tc>
        <w:tc>
          <w:tcPr>
            <w:tcW w:w="945" w:type="pct"/>
            <w:vAlign w:val="center"/>
          </w:tcPr>
          <w:p w14:paraId="77383A2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市政务服务中心疫情防控专项经费</w:t>
            </w:r>
          </w:p>
        </w:tc>
        <w:tc>
          <w:tcPr>
            <w:tcW w:w="1429" w:type="pct"/>
            <w:vAlign w:val="center"/>
          </w:tcPr>
          <w:p w14:paraId="54F6C10D">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防疫物资保障时长（原则上保障全年，随疫情严重程度调整）</w:t>
            </w:r>
          </w:p>
        </w:tc>
        <w:tc>
          <w:tcPr>
            <w:tcW w:w="1030" w:type="pct"/>
            <w:vAlign w:val="center"/>
          </w:tcPr>
          <w:p w14:paraId="1735955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实际保障时长为7个月</w:t>
            </w:r>
          </w:p>
        </w:tc>
        <w:tc>
          <w:tcPr>
            <w:tcW w:w="1312" w:type="pct"/>
            <w:vAlign w:val="center"/>
          </w:tcPr>
          <w:p w14:paraId="1634C83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因本年对新冠病毒实行乙类乙管，防疫物资采购根据实际情况开展，年底疫情好转后不再进行采购</w:t>
            </w:r>
          </w:p>
        </w:tc>
      </w:tr>
      <w:tr w14:paraId="1BCA3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 w:type="pct"/>
            <w:vAlign w:val="center"/>
          </w:tcPr>
          <w:p w14:paraId="2E8E9565">
            <w:pPr>
              <w:keepNext w:val="0"/>
              <w:keepLines w:val="0"/>
              <w:suppressLineNumbers w:val="0"/>
              <w:adjustRightInd w:val="0"/>
              <w:snapToGrid w:val="0"/>
              <w:spacing w:before="0" w:beforeAutospacing="0" w:after="0" w:afterAutospacing="0"/>
              <w:ind w:left="0" w:right="0" w:firstLine="40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113</w:t>
            </w:r>
          </w:p>
        </w:tc>
        <w:tc>
          <w:tcPr>
            <w:tcW w:w="945" w:type="pct"/>
            <w:vAlign w:val="center"/>
          </w:tcPr>
          <w:p w14:paraId="5EBACC0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北京市政务服务监督检查和效能促进平台</w:t>
            </w:r>
          </w:p>
        </w:tc>
        <w:tc>
          <w:tcPr>
            <w:tcW w:w="1429" w:type="pct"/>
            <w:vAlign w:val="center"/>
          </w:tcPr>
          <w:p w14:paraId="6D00C2B9">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建设周期计划为1年</w:t>
            </w:r>
          </w:p>
        </w:tc>
        <w:tc>
          <w:tcPr>
            <w:tcW w:w="1030" w:type="pct"/>
            <w:vAlign w:val="center"/>
          </w:tcPr>
          <w:p w14:paraId="261B561C">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实际周期1</w:t>
            </w:r>
            <w:r>
              <w:rPr>
                <w:rFonts w:asciiTheme="minorEastAsia" w:hAnsiTheme="minorEastAsia" w:eastAsiaTheme="minorEastAsia"/>
                <w:color w:val="auto"/>
                <w:sz w:val="20"/>
                <w:szCs w:val="20"/>
              </w:rPr>
              <w:t>5</w:t>
            </w:r>
            <w:r>
              <w:rPr>
                <w:rFonts w:hint="eastAsia" w:asciiTheme="minorEastAsia" w:hAnsiTheme="minorEastAsia" w:eastAsiaTheme="minorEastAsia"/>
                <w:color w:val="auto"/>
                <w:sz w:val="20"/>
                <w:szCs w:val="20"/>
              </w:rPr>
              <w:t>个月</w:t>
            </w:r>
          </w:p>
        </w:tc>
        <w:tc>
          <w:tcPr>
            <w:tcW w:w="1312" w:type="pct"/>
            <w:vAlign w:val="center"/>
          </w:tcPr>
          <w:p w14:paraId="0E839FB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项目于</w:t>
            </w:r>
            <w:r>
              <w:rPr>
                <w:rFonts w:hint="eastAsia" w:asciiTheme="minorEastAsia" w:hAnsiTheme="minorEastAsia" w:eastAsiaTheme="minorEastAsia"/>
                <w:color w:val="auto"/>
                <w:sz w:val="20"/>
                <w:szCs w:val="20"/>
                <w:lang w:eastAsia="zh-CN"/>
              </w:rPr>
              <w:t>2023年</w:t>
            </w:r>
            <w:r>
              <w:rPr>
                <w:rFonts w:hint="eastAsia" w:asciiTheme="minorEastAsia" w:hAnsiTheme="minorEastAsia" w:eastAsiaTheme="minorEastAsia"/>
                <w:color w:val="auto"/>
                <w:sz w:val="20"/>
                <w:szCs w:val="20"/>
                <w:lang w:val="en-US" w:eastAsia="zh-CN"/>
              </w:rPr>
              <w:t>8月</w:t>
            </w:r>
            <w:r>
              <w:rPr>
                <w:rFonts w:hint="eastAsia" w:asciiTheme="minorEastAsia" w:hAnsiTheme="minorEastAsia" w:eastAsiaTheme="minorEastAsia"/>
                <w:color w:val="auto"/>
                <w:sz w:val="20"/>
                <w:szCs w:val="20"/>
              </w:rPr>
              <w:t>完成项目初步验收，完成15个月建设，等待完成竣工验收，已进行项目延期流程</w:t>
            </w:r>
          </w:p>
        </w:tc>
      </w:tr>
      <w:tr w14:paraId="23850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 w:type="pct"/>
            <w:vAlign w:val="center"/>
          </w:tcPr>
          <w:p w14:paraId="2F945C21">
            <w:pPr>
              <w:keepNext w:val="0"/>
              <w:keepLines w:val="0"/>
              <w:suppressLineNumbers w:val="0"/>
              <w:adjustRightInd w:val="0"/>
              <w:snapToGrid w:val="0"/>
              <w:spacing w:before="0" w:beforeAutospacing="0" w:after="0" w:afterAutospacing="0"/>
              <w:ind w:left="0" w:right="0" w:firstLine="40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rPr>
              <w:t>1</w:t>
            </w:r>
            <w:r>
              <w:rPr>
                <w:rFonts w:hint="eastAsia" w:asciiTheme="minorEastAsia" w:hAnsiTheme="minorEastAsia" w:eastAsiaTheme="minorEastAsia"/>
                <w:color w:val="auto"/>
                <w:sz w:val="20"/>
                <w:szCs w:val="20"/>
                <w:lang w:val="en-US" w:eastAsia="zh-CN"/>
              </w:rPr>
              <w:t>14</w:t>
            </w:r>
          </w:p>
        </w:tc>
        <w:tc>
          <w:tcPr>
            <w:tcW w:w="945" w:type="pct"/>
            <w:vAlign w:val="center"/>
          </w:tcPr>
          <w:p w14:paraId="5B03410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“北京榜样·政务服务之星”主题活动</w:t>
            </w:r>
          </w:p>
        </w:tc>
        <w:tc>
          <w:tcPr>
            <w:tcW w:w="1429" w:type="pct"/>
            <w:vAlign w:val="center"/>
          </w:tcPr>
          <w:p w14:paraId="0A9D4DC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1</w:t>
            </w:r>
            <w:r>
              <w:rPr>
                <w:rFonts w:asciiTheme="minorEastAsia" w:hAnsiTheme="minorEastAsia" w:eastAsiaTheme="minorEastAsia"/>
                <w:color w:val="auto"/>
                <w:sz w:val="20"/>
                <w:szCs w:val="20"/>
              </w:rPr>
              <w:t>0</w:t>
            </w:r>
            <w:r>
              <w:rPr>
                <w:rFonts w:hint="eastAsia" w:asciiTheme="minorEastAsia" w:hAnsiTheme="minorEastAsia" w:eastAsiaTheme="minorEastAsia"/>
                <w:color w:val="auto"/>
                <w:sz w:val="20"/>
                <w:szCs w:val="20"/>
              </w:rPr>
              <w:t>月底前完成榜样宣传学习；8月底前完成北京榜样推荐</w:t>
            </w:r>
          </w:p>
        </w:tc>
        <w:tc>
          <w:tcPr>
            <w:tcW w:w="1030" w:type="pct"/>
            <w:vAlign w:val="center"/>
          </w:tcPr>
          <w:p w14:paraId="6B93D14E">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实际1</w:t>
            </w:r>
            <w:r>
              <w:rPr>
                <w:rFonts w:asciiTheme="minorEastAsia" w:hAnsiTheme="minorEastAsia" w:eastAsiaTheme="minorEastAsia"/>
                <w:color w:val="auto"/>
                <w:sz w:val="20"/>
                <w:szCs w:val="20"/>
              </w:rPr>
              <w:t>2</w:t>
            </w:r>
            <w:r>
              <w:rPr>
                <w:rFonts w:hint="eastAsia" w:asciiTheme="minorEastAsia" w:hAnsiTheme="minorEastAsia" w:eastAsiaTheme="minorEastAsia"/>
                <w:color w:val="auto"/>
                <w:sz w:val="20"/>
                <w:szCs w:val="20"/>
              </w:rPr>
              <w:t>月底前完成榜样宣传学习；10月底前完成北京榜样推荐</w:t>
            </w:r>
          </w:p>
        </w:tc>
        <w:tc>
          <w:tcPr>
            <w:tcW w:w="1312" w:type="pct"/>
            <w:vAlign w:val="center"/>
          </w:tcPr>
          <w:p w14:paraId="729FCF84">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原计划两场宣讲均已按时于10月底前完成，为进一步加强整体活动宣传影响效果，新增设两场宣讲活动；按照“2023北京榜样”组委会工作部署，将北京榜样推荐时间由3月-8月改为5月-10月</w:t>
            </w:r>
          </w:p>
        </w:tc>
      </w:tr>
      <w:tr w14:paraId="6DAD8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7" w:hRule="atLeast"/>
        </w:trPr>
        <w:tc>
          <w:tcPr>
            <w:tcW w:w="280" w:type="pct"/>
            <w:vAlign w:val="center"/>
          </w:tcPr>
          <w:p w14:paraId="01A0512D">
            <w:pPr>
              <w:keepNext w:val="0"/>
              <w:keepLines w:val="0"/>
              <w:suppressLineNumbers w:val="0"/>
              <w:adjustRightInd w:val="0"/>
              <w:snapToGrid w:val="0"/>
              <w:spacing w:before="0" w:beforeAutospacing="0" w:after="0" w:afterAutospacing="0"/>
              <w:ind w:left="0" w:right="0" w:firstLine="40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rPr>
              <w:t>1</w:t>
            </w:r>
            <w:r>
              <w:rPr>
                <w:rFonts w:hint="eastAsia" w:asciiTheme="minorEastAsia" w:hAnsiTheme="minorEastAsia" w:eastAsiaTheme="minorEastAsia"/>
                <w:color w:val="auto"/>
                <w:sz w:val="20"/>
                <w:szCs w:val="20"/>
                <w:lang w:val="en-US" w:eastAsia="zh-CN"/>
              </w:rPr>
              <w:t>15</w:t>
            </w:r>
          </w:p>
        </w:tc>
        <w:tc>
          <w:tcPr>
            <w:tcW w:w="945" w:type="pct"/>
            <w:vAlign w:val="center"/>
          </w:tcPr>
          <w:p w14:paraId="5463FD59">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驻京机构信息管理系统信息服务项目</w:t>
            </w:r>
          </w:p>
        </w:tc>
        <w:tc>
          <w:tcPr>
            <w:tcW w:w="1429" w:type="pct"/>
            <w:vAlign w:val="center"/>
          </w:tcPr>
          <w:p w14:paraId="7F2D1D75">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资金支付完成时间≤9月（2022年尾款1.6万元于2023年9月支付，2023年项目启动款6.4万元于2023年合同签订后支付）</w:t>
            </w:r>
          </w:p>
        </w:tc>
        <w:tc>
          <w:tcPr>
            <w:tcW w:w="1030" w:type="pct"/>
            <w:vAlign w:val="center"/>
          </w:tcPr>
          <w:p w14:paraId="3DA50668">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实际2024年9月25日支付2022年度尾款，2023年首款未支付</w:t>
            </w:r>
          </w:p>
        </w:tc>
        <w:tc>
          <w:tcPr>
            <w:tcW w:w="1312" w:type="pct"/>
            <w:vAlign w:val="center"/>
          </w:tcPr>
          <w:p w14:paraId="08C2B543">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因北京市驻京机构信息管理系统将进行升级改造，信息服务模式也将进行相应调整，暂不再签订新一期合作合同，2023年度首款未支付</w:t>
            </w:r>
          </w:p>
        </w:tc>
      </w:tr>
      <w:tr w14:paraId="70D1E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trPr>
        <w:tc>
          <w:tcPr>
            <w:tcW w:w="280" w:type="pct"/>
            <w:vAlign w:val="center"/>
          </w:tcPr>
          <w:p w14:paraId="435E302D">
            <w:pPr>
              <w:keepNext w:val="0"/>
              <w:keepLines w:val="0"/>
              <w:suppressLineNumbers w:val="0"/>
              <w:adjustRightInd w:val="0"/>
              <w:snapToGrid w:val="0"/>
              <w:spacing w:before="0" w:beforeAutospacing="0" w:after="0" w:afterAutospacing="0"/>
              <w:ind w:left="0" w:right="0" w:firstLine="400"/>
              <w:jc w:val="center"/>
              <w:rPr>
                <w:rFonts w:hint="default" w:asciiTheme="minorEastAsia" w:hAnsiTheme="minorEastAsia" w:eastAsiaTheme="minorEastAsia"/>
                <w:color w:val="auto"/>
                <w:sz w:val="20"/>
                <w:szCs w:val="20"/>
                <w:lang w:val="en-US"/>
              </w:rPr>
            </w:pPr>
            <w:r>
              <w:rPr>
                <w:rFonts w:hint="eastAsia" w:cs="Times New Roman" w:asciiTheme="minorEastAsia" w:hAnsiTheme="minorEastAsia" w:eastAsiaTheme="minorEastAsia"/>
                <w:color w:val="auto"/>
                <w:sz w:val="20"/>
                <w:szCs w:val="20"/>
                <w:lang w:val="en-US" w:eastAsia="zh-CN"/>
              </w:rPr>
              <w:t>116</w:t>
            </w:r>
          </w:p>
        </w:tc>
        <w:tc>
          <w:tcPr>
            <w:tcW w:w="945" w:type="pct"/>
            <w:vAlign w:val="center"/>
          </w:tcPr>
          <w:p w14:paraId="64DA81B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hint="eastAsia" w:asciiTheme="minorEastAsia" w:hAnsiTheme="minorEastAsia" w:eastAsiaTheme="minorEastAsia"/>
                <w:color w:val="auto"/>
                <w:sz w:val="20"/>
                <w:szCs w:val="20"/>
              </w:rPr>
              <w:t>便民自助终端服务功能拓展项目</w:t>
            </w:r>
          </w:p>
        </w:tc>
        <w:tc>
          <w:tcPr>
            <w:tcW w:w="1429" w:type="pct"/>
            <w:vAlign w:val="center"/>
          </w:tcPr>
          <w:p w14:paraId="5384ABE7">
            <w:pPr>
              <w:keepNext w:val="0"/>
              <w:keepLines w:val="0"/>
              <w:suppressLineNumbers w:val="0"/>
              <w:adjustRightInd w:val="0"/>
              <w:snapToGrid w:val="0"/>
              <w:spacing w:before="0" w:beforeAutospacing="0" w:after="0" w:afterAutospacing="0"/>
              <w:ind w:left="0" w:right="0"/>
              <w:jc w:val="center"/>
              <w:rPr>
                <w:rFonts w:asciiTheme="minorEastAsia" w:hAnsiTheme="minorEastAsia" w:eastAsiaTheme="minorEastAsia"/>
                <w:color w:val="auto"/>
                <w:sz w:val="20"/>
                <w:szCs w:val="20"/>
              </w:rPr>
            </w:pPr>
            <w:r>
              <w:rPr>
                <w:rFonts w:asciiTheme="minorEastAsia" w:hAnsiTheme="minorEastAsia" w:eastAsiaTheme="minorEastAsia"/>
                <w:color w:val="auto"/>
                <w:sz w:val="20"/>
                <w:szCs w:val="20"/>
              </w:rPr>
              <w:t>11</w:t>
            </w:r>
            <w:r>
              <w:rPr>
                <w:rFonts w:hint="eastAsia" w:asciiTheme="minorEastAsia" w:hAnsiTheme="minorEastAsia" w:eastAsiaTheme="minorEastAsia"/>
                <w:color w:val="auto"/>
                <w:sz w:val="20"/>
                <w:szCs w:val="20"/>
              </w:rPr>
              <w:t>月底前完成整体验收</w:t>
            </w:r>
          </w:p>
        </w:tc>
        <w:tc>
          <w:tcPr>
            <w:tcW w:w="1030" w:type="pct"/>
            <w:vAlign w:val="center"/>
          </w:tcPr>
          <w:p w14:paraId="729B1F4A">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rPr>
              <w:t>实际1</w:t>
            </w:r>
            <w:r>
              <w:rPr>
                <w:rFonts w:asciiTheme="minorEastAsia" w:hAnsiTheme="minorEastAsia" w:eastAsiaTheme="minorEastAsia"/>
                <w:color w:val="auto"/>
                <w:sz w:val="20"/>
                <w:szCs w:val="20"/>
              </w:rPr>
              <w:t>2</w:t>
            </w:r>
            <w:r>
              <w:rPr>
                <w:rFonts w:hint="eastAsia" w:asciiTheme="minorEastAsia" w:hAnsiTheme="minorEastAsia" w:eastAsiaTheme="minorEastAsia"/>
                <w:color w:val="auto"/>
                <w:sz w:val="20"/>
                <w:szCs w:val="20"/>
              </w:rPr>
              <w:t>月底前</w:t>
            </w:r>
            <w:r>
              <w:rPr>
                <w:rFonts w:hint="eastAsia" w:asciiTheme="minorEastAsia" w:hAnsiTheme="minorEastAsia" w:eastAsiaTheme="minorEastAsia"/>
                <w:color w:val="auto"/>
                <w:sz w:val="20"/>
                <w:szCs w:val="20"/>
                <w:lang w:val="en-US" w:eastAsia="zh-CN"/>
              </w:rPr>
              <w:t>完成终验</w:t>
            </w:r>
          </w:p>
        </w:tc>
        <w:tc>
          <w:tcPr>
            <w:tcW w:w="1312" w:type="pct"/>
            <w:vAlign w:val="center"/>
          </w:tcPr>
          <w:p w14:paraId="3B6BEF2D">
            <w:pPr>
              <w:keepNext w:val="0"/>
              <w:keepLines w:val="0"/>
              <w:suppressLineNumbers w:val="0"/>
              <w:adjustRightInd w:val="0"/>
              <w:snapToGrid w:val="0"/>
              <w:spacing w:before="0" w:beforeAutospacing="0" w:after="0" w:afterAutospacing="0"/>
              <w:ind w:left="0" w:right="0"/>
              <w:jc w:val="center"/>
              <w:rPr>
                <w:rFonts w:hint="default" w:asciiTheme="minorEastAsia" w:hAnsiTheme="minorEastAsia" w:eastAsiaTheme="minorEastAsia"/>
                <w:color w:val="auto"/>
                <w:sz w:val="20"/>
                <w:szCs w:val="20"/>
                <w:lang w:val="en-US" w:eastAsia="zh-CN"/>
              </w:rPr>
            </w:pPr>
            <w:r>
              <w:rPr>
                <w:rFonts w:hint="eastAsia" w:asciiTheme="minorEastAsia" w:hAnsiTheme="minorEastAsia" w:eastAsiaTheme="minorEastAsia"/>
                <w:color w:val="auto"/>
                <w:sz w:val="20"/>
                <w:szCs w:val="20"/>
                <w:lang w:val="en-US" w:eastAsia="zh-CN"/>
              </w:rPr>
              <w:t>基于实际工作安排，验收时间有所滞后</w:t>
            </w:r>
          </w:p>
        </w:tc>
      </w:tr>
    </w:tbl>
    <w:p w14:paraId="2D1BAF5D">
      <w:pPr>
        <w:adjustRightInd w:val="0"/>
        <w:snapToGrid w:val="0"/>
        <w:spacing w:line="560" w:lineRule="exact"/>
        <w:ind w:left="-540" w:leftChars="-400" w:hanging="300" w:hangingChars="150"/>
        <w:jc w:val="center"/>
        <w:rPr>
          <w:rFonts w:hint="eastAsia" w:ascii="黑体" w:hAnsi="黑体" w:eastAsia="黑体"/>
          <w:sz w:val="20"/>
          <w:szCs w:val="20"/>
        </w:rPr>
      </w:pPr>
    </w:p>
    <w:p w14:paraId="05E6DB62">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4.</w:t>
      </w:r>
      <w:r>
        <w:rPr>
          <w:rFonts w:hint="eastAsia" w:ascii="仿宋_GB2312" w:eastAsia="仿宋_GB2312"/>
          <w:bCs/>
          <w:sz w:val="32"/>
          <w:szCs w:val="32"/>
        </w:rPr>
        <w:t>产出</w:t>
      </w:r>
      <w:r>
        <w:rPr>
          <w:rFonts w:ascii="仿宋_GB2312" w:eastAsia="仿宋_GB2312"/>
          <w:bCs/>
          <w:sz w:val="32"/>
          <w:szCs w:val="32"/>
        </w:rPr>
        <w:t>成本</w:t>
      </w:r>
    </w:p>
    <w:p w14:paraId="08C9767F">
      <w:pPr>
        <w:pStyle w:val="24"/>
        <w:tabs>
          <w:tab w:val="left" w:pos="1418"/>
        </w:tabs>
        <w:adjustRightInd w:val="0"/>
        <w:snapToGrid w:val="0"/>
        <w:spacing w:line="560" w:lineRule="exact"/>
        <w:ind w:firstLine="640"/>
        <w:rPr>
          <w:rFonts w:ascii="仿宋_GB2312" w:hAnsi="仿宋"/>
          <w:sz w:val="32"/>
          <w:szCs w:val="32"/>
        </w:rPr>
      </w:pPr>
      <w:r>
        <w:rPr>
          <w:rFonts w:hint="eastAsia" w:ascii="仿宋_GB2312" w:hAnsi="仿宋"/>
          <w:sz w:val="32"/>
          <w:szCs w:val="32"/>
        </w:rPr>
        <w:t>①公用经费控制情况。2</w:t>
      </w:r>
      <w:r>
        <w:rPr>
          <w:rFonts w:ascii="仿宋_GB2312" w:hAnsi="仿宋"/>
          <w:sz w:val="32"/>
          <w:szCs w:val="32"/>
        </w:rPr>
        <w:t>02</w:t>
      </w:r>
      <w:r>
        <w:rPr>
          <w:rFonts w:hint="eastAsia" w:ascii="仿宋_GB2312" w:hAnsi="仿宋"/>
          <w:sz w:val="32"/>
          <w:szCs w:val="32"/>
        </w:rPr>
        <w:t>3年度，市政务服务局经费支出严格按照中央和北京市相关规定和要求执行，三公经费年初预算数97.49万元（局本级74.00万元、热线中心23.32万元、网厅中心0</w:t>
      </w:r>
      <w:r>
        <w:rPr>
          <w:rFonts w:ascii="仿宋_GB2312" w:hAnsi="仿宋"/>
          <w:sz w:val="32"/>
          <w:szCs w:val="32"/>
        </w:rPr>
        <w:t>.1</w:t>
      </w:r>
      <w:r>
        <w:rPr>
          <w:rFonts w:hint="eastAsia" w:ascii="仿宋_GB2312" w:hAnsi="仿宋"/>
          <w:sz w:val="32"/>
          <w:szCs w:val="32"/>
        </w:rPr>
        <w:t>7万元），执行过程中严格进行压减，</w:t>
      </w:r>
      <w:r>
        <w:rPr>
          <w:rFonts w:hint="eastAsia" w:ascii="仿宋_GB2312" w:hAnsi="仿宋"/>
          <w:sz w:val="32"/>
          <w:szCs w:val="32"/>
          <w:lang w:val="en-US" w:eastAsia="zh-CN"/>
        </w:rPr>
        <w:t>压减后</w:t>
      </w:r>
      <w:r>
        <w:rPr>
          <w:rFonts w:hint="eastAsia" w:ascii="仿宋_GB2312" w:hAnsi="仿宋"/>
          <w:sz w:val="32"/>
          <w:szCs w:val="32"/>
        </w:rPr>
        <w:t>全年预算数34.39万元（局本级24.46万元、热线中心9.76万元、网厅中心0</w:t>
      </w:r>
      <w:r>
        <w:rPr>
          <w:rFonts w:ascii="仿宋_GB2312" w:hAnsi="仿宋"/>
          <w:sz w:val="32"/>
          <w:szCs w:val="32"/>
        </w:rPr>
        <w:t>.</w:t>
      </w:r>
      <w:r>
        <w:rPr>
          <w:rFonts w:hint="eastAsia" w:ascii="仿宋_GB2312" w:hAnsi="仿宋"/>
          <w:sz w:val="32"/>
          <w:szCs w:val="32"/>
        </w:rPr>
        <w:t>17万元），</w:t>
      </w:r>
      <w:r>
        <w:rPr>
          <w:rFonts w:hint="eastAsia" w:ascii="仿宋_GB2312" w:hAnsi="仿宋"/>
          <w:sz w:val="32"/>
          <w:szCs w:val="32"/>
          <w:highlight w:val="none"/>
        </w:rPr>
        <w:t>实际支出18.43万元（局本级9.70万元、热线中心8.68万元、网厅中心0.045万元），实际支出未超预算安排；日常公用经费</w:t>
      </w:r>
      <w:r>
        <w:rPr>
          <w:rFonts w:hint="eastAsia" w:ascii="仿宋_GB2312" w:hAnsi="仿宋"/>
          <w:sz w:val="32"/>
          <w:szCs w:val="32"/>
          <w:highlight w:val="none"/>
          <w:lang w:val="en-US" w:eastAsia="zh-CN"/>
        </w:rPr>
        <w:t>实际支出</w:t>
      </w:r>
      <w:r>
        <w:rPr>
          <w:rFonts w:hint="eastAsia" w:ascii="仿宋_GB2312" w:hAnsi="仿宋"/>
          <w:sz w:val="32"/>
          <w:szCs w:val="32"/>
          <w:highlight w:val="none"/>
        </w:rPr>
        <w:t>457.20万元（局本级301.43万元</w:t>
      </w:r>
      <w:r>
        <w:rPr>
          <w:rFonts w:hint="eastAsia" w:ascii="仿宋_GB2312" w:hAnsi="仿宋"/>
          <w:sz w:val="32"/>
          <w:szCs w:val="32"/>
        </w:rPr>
        <w:t>、热线中心142.96万元、网厅中心12.81万元），未超日常公用经费</w:t>
      </w:r>
      <w:r>
        <w:rPr>
          <w:rFonts w:hint="eastAsia" w:ascii="仿宋_GB2312" w:hAnsi="仿宋"/>
          <w:sz w:val="32"/>
          <w:szCs w:val="32"/>
          <w:lang w:val="en-US" w:eastAsia="zh-CN"/>
        </w:rPr>
        <w:t>全年</w:t>
      </w:r>
      <w:r>
        <w:rPr>
          <w:rFonts w:hint="eastAsia" w:ascii="仿宋_GB2312" w:hAnsi="仿宋"/>
          <w:sz w:val="32"/>
          <w:szCs w:val="32"/>
        </w:rPr>
        <w:t>预算数584.83万元（局本级396.93万元、热线中心168.13万元、网厅中心19.77万元），公用经费控制情况较好。</w:t>
      </w:r>
    </w:p>
    <w:p w14:paraId="50E2DA69">
      <w:pPr>
        <w:pStyle w:val="24"/>
        <w:tabs>
          <w:tab w:val="left" w:pos="1418"/>
        </w:tabs>
        <w:adjustRightInd w:val="0"/>
        <w:snapToGrid w:val="0"/>
        <w:spacing w:line="560" w:lineRule="exact"/>
        <w:ind w:firstLine="640"/>
        <w:rPr>
          <w:rFonts w:ascii="楷体_GB2312" w:eastAsia="楷体_GB2312"/>
          <w:sz w:val="32"/>
          <w:szCs w:val="32"/>
        </w:rPr>
      </w:pPr>
      <w:r>
        <w:rPr>
          <w:rFonts w:hint="eastAsia" w:ascii="仿宋_GB2312" w:hAnsi="仿宋"/>
          <w:sz w:val="32"/>
          <w:szCs w:val="32"/>
        </w:rPr>
        <w:t>②部门总成本控制情况。2023年度，市政务服务局实际支出资金51,797.93万元，</w:t>
      </w:r>
      <w:r>
        <w:rPr>
          <w:color w:val="000000"/>
          <w:sz w:val="32"/>
          <w:szCs w:val="32"/>
        </w:rPr>
        <w:t>各项产出活动均在财政批复的资金范围内开展，</w:t>
      </w:r>
      <w:r>
        <w:rPr>
          <w:rFonts w:hint="eastAsia"/>
          <w:color w:val="000000"/>
          <w:sz w:val="32"/>
          <w:szCs w:val="32"/>
        </w:rPr>
        <w:t>并通过公开招标等</w:t>
      </w:r>
      <w:r>
        <w:rPr>
          <w:rFonts w:hint="eastAsia"/>
          <w:color w:val="000000"/>
          <w:sz w:val="32"/>
          <w:szCs w:val="32"/>
          <w:lang w:val="en-US" w:eastAsia="zh-CN"/>
        </w:rPr>
        <w:t>政府</w:t>
      </w:r>
      <w:r>
        <w:rPr>
          <w:rFonts w:hint="eastAsia"/>
          <w:color w:val="000000"/>
          <w:sz w:val="32"/>
          <w:szCs w:val="32"/>
        </w:rPr>
        <w:t>采购</w:t>
      </w:r>
      <w:r>
        <w:rPr>
          <w:rFonts w:hint="eastAsia"/>
          <w:color w:val="000000"/>
          <w:sz w:val="32"/>
          <w:szCs w:val="32"/>
          <w:lang w:val="en-US" w:eastAsia="zh-CN"/>
        </w:rPr>
        <w:t>方式</w:t>
      </w:r>
      <w:r>
        <w:rPr>
          <w:rFonts w:hint="eastAsia"/>
          <w:color w:val="000000"/>
          <w:sz w:val="32"/>
          <w:szCs w:val="32"/>
        </w:rPr>
        <w:t>节约财政资金，部门整体支出成本控制较好</w:t>
      </w:r>
      <w:r>
        <w:rPr>
          <w:rFonts w:hint="eastAsia"/>
          <w:color w:val="000000"/>
          <w:sz w:val="32"/>
          <w:szCs w:val="32"/>
          <w:lang w:eastAsia="zh-CN"/>
        </w:rPr>
        <w:t>，</w:t>
      </w:r>
      <w:r>
        <w:rPr>
          <w:rFonts w:hint="eastAsia"/>
          <w:color w:val="000000"/>
          <w:sz w:val="32"/>
          <w:szCs w:val="32"/>
          <w:lang w:val="en-US" w:eastAsia="zh-CN"/>
        </w:rPr>
        <w:t>单位成本均衡平稳</w:t>
      </w:r>
      <w:r>
        <w:rPr>
          <w:rFonts w:hint="eastAsia" w:ascii="仿宋_GB2312" w:hAnsi="仿宋"/>
          <w:sz w:val="32"/>
          <w:szCs w:val="32"/>
        </w:rPr>
        <w:t>。</w:t>
      </w:r>
      <w:r>
        <w:rPr>
          <w:rFonts w:hint="eastAsia" w:ascii="仿宋_GB2312" w:hAnsi="仿宋"/>
          <w:sz w:val="32"/>
          <w:szCs w:val="32"/>
          <w:lang w:val="en-US" w:eastAsia="zh-CN"/>
        </w:rPr>
        <w:t>同时</w:t>
      </w:r>
      <w:r>
        <w:rPr>
          <w:rFonts w:hint="eastAsia" w:ascii="仿宋_GB2312" w:hAnsi="仿宋"/>
          <w:sz w:val="32"/>
          <w:szCs w:val="32"/>
        </w:rPr>
        <w:t>，个别项目分项内容实际执行金额与预算测算金额存在一定的差异，如，</w:t>
      </w:r>
      <w:r>
        <w:rPr>
          <w:rFonts w:hint="eastAsia" w:ascii="仿宋_GB2312" w:hAnsi="仿宋"/>
          <w:sz w:val="32"/>
          <w:szCs w:val="32"/>
          <w:lang w:val="en-US" w:eastAsia="zh-CN"/>
        </w:rPr>
        <w:t>编外用工</w:t>
      </w:r>
      <w:r>
        <w:rPr>
          <w:rFonts w:hint="eastAsia" w:ascii="仿宋_GB2312" w:hAnsi="仿宋"/>
          <w:sz w:val="32"/>
          <w:szCs w:val="32"/>
        </w:rPr>
        <w:t>管理服务费项目</w:t>
      </w:r>
      <w:r>
        <w:rPr>
          <w:rFonts w:hint="eastAsia" w:ascii="仿宋_GB2312" w:hAnsi="仿宋"/>
          <w:sz w:val="32"/>
          <w:szCs w:val="32"/>
          <w:lang w:val="en-US" w:eastAsia="zh-CN"/>
        </w:rPr>
        <w:t>中</w:t>
      </w:r>
      <w:r>
        <w:rPr>
          <w:rFonts w:hint="eastAsia" w:ascii="仿宋_GB2312" w:hAnsi="仿宋"/>
          <w:sz w:val="32"/>
          <w:szCs w:val="32"/>
        </w:rPr>
        <w:t>，公共资源交易综合分平台编外用工餐补、管理费及税金共计测算94.91万元，实际支出75.25万元；审批管理处编外用工办公费、餐补、管理费及税金共计测算551.24万元，实际支出570.90万元，成本控制精准性有待进一步提升。</w:t>
      </w:r>
    </w:p>
    <w:p w14:paraId="6BB8447B">
      <w:pPr>
        <w:adjustRightInd w:val="0"/>
        <w:snapToGrid w:val="0"/>
        <w:spacing w:line="560" w:lineRule="exact"/>
        <w:ind w:firstLine="640" w:firstLineChars="200"/>
        <w:outlineLvl w:val="1"/>
        <w:rPr>
          <w:rFonts w:ascii="楷体_GB2312" w:eastAsia="楷体_GB2312"/>
          <w:sz w:val="32"/>
          <w:szCs w:val="32"/>
        </w:rPr>
      </w:pPr>
      <w:bookmarkStart w:id="15" w:name="_Toc8508"/>
      <w:bookmarkStart w:id="16" w:name="_Toc7238"/>
      <w:r>
        <w:rPr>
          <w:rFonts w:hint="eastAsia" w:ascii="楷体_GB2312" w:eastAsia="楷体_GB2312"/>
          <w:sz w:val="32"/>
          <w:szCs w:val="32"/>
        </w:rPr>
        <w:t>（二）效果</w:t>
      </w:r>
      <w:r>
        <w:rPr>
          <w:rFonts w:ascii="楷体_GB2312" w:eastAsia="楷体_GB2312"/>
          <w:sz w:val="32"/>
          <w:szCs w:val="32"/>
        </w:rPr>
        <w:t>实现情况分析</w:t>
      </w:r>
      <w:bookmarkEnd w:id="15"/>
      <w:bookmarkEnd w:id="16"/>
    </w:p>
    <w:p w14:paraId="2100C833">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市政务服务局2023年各项工作的开展取得了积极成效。高质量完成26项市政府报告重点工作、1项重要民生实事项目，办理145件市委督查室、市政府办公厅督查件，办理27件市人大、市政协建议提案，推动完成68项营商环境6.0任务、165项政务服务行动计划任务。政务热线服务质量、一体化政务服务能力、政府透明度指数、网上政府创新发展等多项评估成绩均位居全国前列，企业破产信息核查和企业上市合法合规信息核查被写入国务院“高效办成一件事”指导意见，</w:t>
      </w:r>
      <w:r>
        <w:rPr>
          <w:rFonts w:hint="eastAsia" w:ascii="仿宋_GB2312" w:hAnsi="黑体" w:eastAsia="仿宋_GB2312" w:cs="宋体"/>
          <w:sz w:val="32"/>
          <w:szCs w:val="32"/>
          <w:lang w:val="en-US" w:eastAsia="zh-CN"/>
        </w:rPr>
        <w:t>基于办成</w:t>
      </w:r>
      <w:r>
        <w:rPr>
          <w:rFonts w:hint="eastAsia" w:ascii="仿宋_GB2312" w:hAnsi="仿宋_GB2312" w:eastAsia="仿宋_GB2312" w:cs="仿宋_GB2312"/>
          <w:color w:val="auto"/>
          <w:sz w:val="32"/>
          <w:szCs w:val="32"/>
          <w:highlight w:val="none"/>
          <w:lang w:val="en-US" w:eastAsia="zh-CN"/>
        </w:rPr>
        <w:t>“一件事”，</w:t>
      </w:r>
      <w:r>
        <w:rPr>
          <w:rFonts w:hint="eastAsia" w:ascii="仿宋_GB2312" w:hAnsi="黑体" w:eastAsia="仿宋_GB2312" w:cs="宋体"/>
          <w:sz w:val="32"/>
          <w:szCs w:val="32"/>
        </w:rPr>
        <w:t>率先推出的举办大型营业性演出、举办大型体育赛事、举办大型展览展销活动</w:t>
      </w:r>
      <w:r>
        <w:rPr>
          <w:rFonts w:hint="eastAsia" w:ascii="仿宋_GB2312" w:hAnsi="黑体" w:eastAsia="仿宋_GB2312" w:cs="宋体"/>
          <w:sz w:val="32"/>
          <w:szCs w:val="32"/>
          <w:lang w:val="en-US" w:eastAsia="zh-CN"/>
        </w:rPr>
        <w:t>等3个场景</w:t>
      </w:r>
      <w:r>
        <w:rPr>
          <w:rFonts w:hint="eastAsia" w:ascii="仿宋_GB2312" w:hAnsi="黑体" w:eastAsia="仿宋_GB2312" w:cs="宋体"/>
          <w:sz w:val="32"/>
          <w:szCs w:val="32"/>
        </w:rPr>
        <w:t>入选国务院办公厅《政务服务效能提升“双十百千”工程典型经验案例》，2个“减证便民”改革案例被司法部评为“全国十佳案例”。市政务服务局202</w:t>
      </w:r>
      <w:r>
        <w:rPr>
          <w:rFonts w:ascii="仿宋_GB2312" w:hAnsi="黑体" w:eastAsia="仿宋_GB2312" w:cs="宋体"/>
          <w:sz w:val="32"/>
          <w:szCs w:val="32"/>
        </w:rPr>
        <w:t>3</w:t>
      </w:r>
      <w:r>
        <w:rPr>
          <w:rFonts w:hint="eastAsia" w:ascii="仿宋_GB2312" w:hAnsi="黑体" w:eastAsia="仿宋_GB2312" w:cs="宋体"/>
          <w:sz w:val="32"/>
          <w:szCs w:val="32"/>
        </w:rPr>
        <w:t>年度向市委、市政府和全市人民交上了一份满意答卷。</w:t>
      </w:r>
    </w:p>
    <w:p w14:paraId="641F0ABB">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1.服务保障全市中心工作</w:t>
      </w:r>
    </w:p>
    <w:p w14:paraId="64538121">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充分发挥接诉即办在主题教育中办实事、解民忧的主抓手作用</w:t>
      </w:r>
      <w:r>
        <w:rPr>
          <w:rFonts w:hint="eastAsia" w:ascii="仿宋_GB2312" w:hAnsi="黑体" w:eastAsia="仿宋_GB2312" w:cs="宋体"/>
          <w:sz w:val="32"/>
          <w:szCs w:val="32"/>
          <w:lang w:eastAsia="zh-CN"/>
        </w:rPr>
        <w:t>，把</w:t>
      </w:r>
      <w:r>
        <w:rPr>
          <w:rFonts w:hint="eastAsia" w:ascii="仿宋_GB2312" w:hAnsi="黑体" w:eastAsia="仿宋_GB2312" w:cs="宋体"/>
          <w:sz w:val="32"/>
          <w:szCs w:val="32"/>
        </w:rPr>
        <w:t>党建引领接诉即办改革作为我市主题教育正面典型案例在中央主题教育办简报上刊发，“您的声音”视频短片参加全国党员教育电视片观摩交流，“接诉即办进校园”思政课向全国展播。全力以赴服务支撑“23·7”特大暴雨洪涝灾害防汛救灾和恢复重建工作，12345接通率始终保持在98%以上，第一时间交办涉汛涉灾紧急诉求，加强涉汛涉灾诉求反映分析研判，在市政府门户网站上线防汛救灾和恢复重建专题，筑牢首都城市安全运行“兜底线”。</w:t>
      </w:r>
    </w:p>
    <w:p w14:paraId="6D04B7A2">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2.深化接诉即办改革</w:t>
      </w:r>
    </w:p>
    <w:p w14:paraId="261E8B46">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深入贯彻《接诉即办工作条例》，</w:t>
      </w:r>
      <w:r>
        <w:rPr>
          <w:rFonts w:hint="eastAsia" w:ascii="仿宋_GB2312" w:hAnsi="黑体" w:eastAsia="仿宋_GB2312" w:cs="方正小标宋简体"/>
          <w:sz w:val="32"/>
          <w:szCs w:val="32"/>
        </w:rPr>
        <w:t>健全“接、派、办、评”全链条工作流程，</w:t>
      </w:r>
      <w:r>
        <w:rPr>
          <w:rFonts w:hint="eastAsia" w:ascii="仿宋_GB2312" w:hAnsi="黑体" w:eastAsia="仿宋_GB2312" w:cs="宋体"/>
          <w:sz w:val="32"/>
          <w:szCs w:val="32"/>
        </w:rPr>
        <w:t>完善“每月一题”机制，围绕规范物业收费、养老机构监管、消防疏散通道不畅等18个问题开展专项治理。</w:t>
      </w:r>
      <w:r>
        <w:rPr>
          <w:rFonts w:hint="eastAsia" w:ascii="仿宋_GB2312" w:hAnsi="仿宋_GB2312" w:eastAsia="仿宋_GB2312" w:cs="仿宋_GB2312"/>
          <w:sz w:val="32"/>
          <w:szCs w:val="32"/>
        </w:rPr>
        <w:t>印发第4批《接诉即办“每月一题”专项清</w:t>
      </w:r>
      <w:r>
        <w:rPr>
          <w:rFonts w:hint="eastAsia" w:ascii="仿宋_GB2312" w:hAnsi="等线" w:eastAsia="仿宋_GB2312" w:cs="黑体"/>
          <w:sz w:val="32"/>
          <w:szCs w:val="32"/>
        </w:rPr>
        <w:t>单》。</w:t>
      </w:r>
      <w:r>
        <w:rPr>
          <w:rFonts w:hint="eastAsia" w:ascii="仿宋_GB2312" w:hAnsi="黑体" w:eastAsia="仿宋_GB2312" w:cs="宋体"/>
          <w:sz w:val="32"/>
          <w:szCs w:val="32"/>
        </w:rPr>
        <w:t>推进接诉即办数字化建设，开展市民热线“开放日”活动。12345市民服务热线共受理市民反映2144万件</w:t>
      </w:r>
      <w:r>
        <w:rPr>
          <w:rFonts w:hint="eastAsia" w:ascii="仿宋_GB2312" w:hAnsi="黑体" w:eastAsia="仿宋_GB2312" w:cs="宋体"/>
          <w:sz w:val="32"/>
          <w:szCs w:val="32"/>
          <w:lang w:eastAsia="zh-CN"/>
        </w:rPr>
        <w:t>，</w:t>
      </w:r>
      <w:r>
        <w:rPr>
          <w:rFonts w:hint="eastAsia" w:ascii="仿宋_GB2312" w:hAnsi="黑体" w:eastAsia="仿宋_GB2312" w:cs="宋体"/>
          <w:sz w:val="32"/>
          <w:szCs w:val="32"/>
        </w:rPr>
        <w:t>解决率95.53%</w:t>
      </w:r>
      <w:r>
        <w:rPr>
          <w:rFonts w:hint="eastAsia" w:ascii="仿宋_GB2312" w:hAnsi="黑体" w:eastAsia="仿宋_GB2312" w:cs="宋体"/>
          <w:sz w:val="32"/>
          <w:szCs w:val="32"/>
          <w:lang w:eastAsia="zh-CN"/>
        </w:rPr>
        <w:t>，</w:t>
      </w:r>
      <w:r>
        <w:rPr>
          <w:rFonts w:hint="eastAsia" w:ascii="仿宋_GB2312" w:hAnsi="黑体" w:eastAsia="仿宋_GB2312" w:cs="宋体"/>
          <w:sz w:val="32"/>
          <w:szCs w:val="32"/>
        </w:rPr>
        <w:t>满意率96.07%。《人民日报》、新华社专题报道接诉即办，北京改革“金名片”的影响力持续扩大。</w:t>
      </w:r>
    </w:p>
    <w:p w14:paraId="4B97A9A2">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3.推进政府职能转变</w:t>
      </w:r>
    </w:p>
    <w:p w14:paraId="5248A688">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lang w:val="en-US" w:eastAsia="zh-CN"/>
        </w:rPr>
        <w:t>对</w:t>
      </w:r>
      <w:r>
        <w:rPr>
          <w:rFonts w:hint="eastAsia" w:ascii="仿宋_GB2312" w:hAnsi="黑体" w:eastAsia="仿宋_GB2312" w:cs="宋体"/>
          <w:sz w:val="32"/>
          <w:szCs w:val="32"/>
        </w:rPr>
        <w:t>餐饮店、中医馆、乡村民宿等40个行业完成“一业一证”改革，</w:t>
      </w:r>
      <w:r>
        <w:rPr>
          <w:rFonts w:hint="eastAsia" w:ascii="仿宋_GB2312" w:hAnsi="仿宋_GB2312" w:eastAsia="仿宋_GB2312" w:cs="仿宋_GB2312"/>
          <w:sz w:val="32"/>
          <w:szCs w:val="32"/>
        </w:rPr>
        <w:t>平均压减材料50.6%、压减时限71.5%</w:t>
      </w:r>
      <w:r>
        <w:rPr>
          <w:rFonts w:hint="eastAsia" w:ascii="仿宋_GB2312" w:hAnsi="黑体" w:eastAsia="仿宋_GB2312" w:cs="宋体"/>
          <w:sz w:val="32"/>
          <w:szCs w:val="32"/>
        </w:rPr>
        <w:t>。落地第二批23个“一件事”集成办事场景，率先推出的举办大型营业性演出、大型体育赛事、大型展览展销活动等3个场景取得良好成效。</w:t>
      </w:r>
      <w:r>
        <w:rPr>
          <w:rFonts w:hint="eastAsia" w:ascii="仿宋_GB2312" w:hAnsi="仿宋_GB2312" w:eastAsia="仿宋_GB2312" w:cs="仿宋_GB2312"/>
          <w:sz w:val="32"/>
          <w:szCs w:val="32"/>
        </w:rPr>
        <w:t>交通运输等领域推出63个“一证（照）通办”事项。对星巴克咖啡工坊项目落地上海进行典型案例分析，研究建立审批服务协调机制。制定“北京民生一卡通”实体卡与民生类单卡并行工作方案，深入推进“多卡合一”。</w:t>
      </w:r>
      <w:r>
        <w:rPr>
          <w:rFonts w:hint="eastAsia" w:ascii="仿宋_GB2312" w:hAnsi="黑体" w:eastAsia="仿宋_GB2312" w:cs="宋体"/>
          <w:sz w:val="32"/>
          <w:szCs w:val="32"/>
        </w:rPr>
        <w:t>编制2023年版北京市行政许可事项清单，新增31项告知承诺审批事项，清理规范31项中介服务事项。推进政务服务标准化规范化便利化，打造100个街道（乡镇）政务服务中心和1000个社区（村）政务服务站点规范化建设示范样板。对全市及各区政务服务综合效能开展全方位评价，每季度发布公众参与政务服务“好差评”评价报告。探索建立“专事专议”综合审批机制。做好企业上市、企业破产（强制清算）信息查询服务，北京贷款服务中心服务保障中小企业融资，银行审批通过贷款业务申请1.78万笔，涉及金额约707.75亿元。公共资源交易综合分平台保障集中供地、重大项目交易顺利开展，交易金额2087亿元。</w:t>
      </w:r>
    </w:p>
    <w:p w14:paraId="78AB2BB5">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4.推动京津冀政务服务协同发展</w:t>
      </w:r>
    </w:p>
    <w:p w14:paraId="21973351">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推出179项京津冀自贸区“同事同标”事项，234个服务事项实现“跨省通办”，200余项“京津冀+雄安”政务服务事项实现“移动办”，推出京津冀第一批165项资质资格互认清单，京津冀“一网通办”专区线上新增142项四地通办事项。推进“北京+雄安”政务服务同城化。推动“京津冀+雄安”政务热线协同发展。服务保障城市副中心建设，推动城市副中心（通州区）与廊坊北三县深化政务服务“区域通办”。</w:t>
      </w:r>
    </w:p>
    <w:p w14:paraId="6CAB3183">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5.加强数字政务建设</w:t>
      </w:r>
    </w:p>
    <w:p w14:paraId="7789AB8E">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市区两级政务服务事项基本实现“全程网办”，在“京通”、微信等程序上线739项市级服务。上线“企业服务专区”，集成面向企业的111项政策服务和办事入口。259类电子证照在住房公积金个人住房贷款申请、教师资格认定等1779个事项或场景中共享利用。上线17个区级企业用户空间，为企业提供“一区一特色”精准惠企服务。运用区块链技术推进数据共享、电子证照和电子印章应用。积极探索大模型技术在政务服务领域应用，市场主体注册登记、公积金业务场景已内部上线测试。</w:t>
      </w:r>
    </w:p>
    <w:p w14:paraId="10AE2AE7">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6.提升国际化政务服务能力</w:t>
      </w:r>
    </w:p>
    <w:p w14:paraId="3904718F">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建设国际交往的开放平台、外国人外资企业的服务平台，持续提高首都国际化网上服务能力。破解外国人数字身份核验难题。针对外资企业和外国人在京投资经营和工作生活中的难点堵点，推动就医挂号、电话卡办理、外资企业设立等20个涉外场景化集成服务。发布英文版BeijingService微信公众号，新增葡萄牙语国际版网站，优化留学生、国际人才服务，推进英文地图制作应用。</w:t>
      </w:r>
    </w:p>
    <w:p w14:paraId="7C11EAB7">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7.优化为中央单位服务</w:t>
      </w:r>
    </w:p>
    <w:p w14:paraId="093169C3">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仿宋_GB2312" w:eastAsia="仿宋_GB2312" w:cs="仿宋_GB2312"/>
          <w:sz w:val="32"/>
          <w:szCs w:val="32"/>
          <w:lang w:bidi="ar"/>
        </w:rPr>
        <w:t>建立服务市领导走访部委工作机制。</w:t>
      </w:r>
      <w:r>
        <w:rPr>
          <w:rFonts w:hint="eastAsia" w:ascii="仿宋_GB2312" w:hAnsi="黑体" w:eastAsia="仿宋_GB2312" w:cs="宋体"/>
          <w:sz w:val="32"/>
          <w:szCs w:val="32"/>
        </w:rPr>
        <w:t>完善央地三级联系人工作机制，推动解决项目建设、环境改善、重大活动服务保障等一批重点难点问题，全力为中央单位在京工作、生活、发展营造安全优良的政务环境。央地联动做好央产小区接诉即办，解决率和满意率总体稳定在85%以上。</w:t>
      </w:r>
    </w:p>
    <w:p w14:paraId="2F904268">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8.深化政务公开</w:t>
      </w:r>
    </w:p>
    <w:p w14:paraId="184F5F5F">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建设全市一体化政策服务平台（“京策”），搭建完成政策测算、推送、兑现、评估等主要功能模块，开发完成“政策兑现专区”“政策服务评估分析系统”等市政府门户网站。对1980年以来公开发布的5万余份政策性文件开展政策有效性专项清理。制定行政机关政策性文件公开发布和解读工作办法。常态化开展市、区、街乡镇三级政务开放日、公开议事厅180余场。聚焦职业技能等级认定、企业员工新参保登记等热点政策，开展“政策公开讲”。组织制作“市民对话一把手”系列节目。完善依申请信息公开工作制度。出刊政府公报48期，刊登文件398个。</w:t>
      </w:r>
    </w:p>
    <w:p w14:paraId="73C18967">
      <w:pPr>
        <w:adjustRightInd w:val="0"/>
        <w:snapToGrid w:val="0"/>
        <w:spacing w:line="560" w:lineRule="exact"/>
        <w:ind w:firstLine="640" w:firstLineChars="200"/>
        <w:rPr>
          <w:rFonts w:hint="eastAsia" w:ascii="仿宋_GB2312" w:hAnsi="黑体" w:eastAsia="仿宋_GB2312" w:cs="宋体"/>
          <w:sz w:val="32"/>
          <w:szCs w:val="32"/>
        </w:rPr>
      </w:pPr>
      <w:r>
        <w:rPr>
          <w:rFonts w:hint="eastAsia" w:ascii="仿宋_GB2312" w:hAnsi="黑体" w:eastAsia="仿宋_GB2312" w:cs="宋体"/>
          <w:sz w:val="32"/>
          <w:szCs w:val="32"/>
        </w:rPr>
        <w:t>综上，20</w:t>
      </w:r>
      <w:r>
        <w:rPr>
          <w:rFonts w:ascii="仿宋_GB2312" w:hAnsi="黑体" w:eastAsia="仿宋_GB2312" w:cs="宋体"/>
          <w:sz w:val="32"/>
          <w:szCs w:val="32"/>
        </w:rPr>
        <w:t>2</w:t>
      </w:r>
      <w:r>
        <w:rPr>
          <w:rFonts w:hint="eastAsia" w:ascii="仿宋_GB2312" w:hAnsi="黑体" w:eastAsia="仿宋_GB2312" w:cs="宋体"/>
          <w:sz w:val="32"/>
          <w:szCs w:val="32"/>
        </w:rPr>
        <w:t>3年度市政务服务局围绕年度总目标及政务服务行动计划，通过多个项目的具体实施及各处室</w:t>
      </w:r>
      <w:r>
        <w:rPr>
          <w:rFonts w:ascii="仿宋_GB2312" w:hAnsi="黑体" w:eastAsia="仿宋_GB2312" w:cs="宋体"/>
          <w:sz w:val="32"/>
          <w:szCs w:val="32"/>
        </w:rPr>
        <w:t>/</w:t>
      </w:r>
      <w:r>
        <w:rPr>
          <w:rFonts w:hint="eastAsia" w:ascii="仿宋_GB2312" w:hAnsi="黑体" w:eastAsia="仿宋_GB2312" w:cs="宋体"/>
          <w:sz w:val="32"/>
          <w:szCs w:val="32"/>
        </w:rPr>
        <w:t>二级预算单位日常履职工作的开展，产生了较好的社会效益及可持续影响，但部门整体效益实现情况缺少与往年成效数据的</w:t>
      </w:r>
      <w:r>
        <w:rPr>
          <w:rFonts w:hint="eastAsia" w:ascii="仿宋_GB2312" w:hAnsi="黑体" w:eastAsia="仿宋_GB2312" w:cs="宋体"/>
          <w:sz w:val="32"/>
          <w:szCs w:val="32"/>
          <w:lang w:val="en-US" w:eastAsia="zh-CN"/>
        </w:rPr>
        <w:t>对比</w:t>
      </w:r>
      <w:r>
        <w:rPr>
          <w:rFonts w:hint="eastAsia" w:ascii="仿宋_GB2312" w:hAnsi="黑体" w:eastAsia="仿宋_GB2312" w:cs="宋体"/>
          <w:sz w:val="32"/>
          <w:szCs w:val="32"/>
        </w:rPr>
        <w:t>，核心效益数据不够直接、突出；延续性项目年度效益以及年度工作开展对中长期目标达成的渐进式作用不够凸显，且存在部分项目对效果支撑数据及具备影响力的案例资料收集不足，一定程度上影响了对保障市政务服务局部门履职及促进政务服务能力提升效益的发挥。</w:t>
      </w:r>
    </w:p>
    <w:p w14:paraId="15F3C632">
      <w:pPr>
        <w:adjustRightInd w:val="0"/>
        <w:snapToGrid w:val="0"/>
        <w:spacing w:line="560" w:lineRule="exact"/>
        <w:ind w:firstLine="640" w:firstLineChars="200"/>
        <w:outlineLvl w:val="0"/>
        <w:rPr>
          <w:rFonts w:ascii="黑体" w:hAnsi="黑体" w:eastAsia="黑体" w:cs="宋体"/>
          <w:kern w:val="0"/>
          <w:sz w:val="32"/>
          <w:szCs w:val="32"/>
        </w:rPr>
      </w:pPr>
      <w:bookmarkStart w:id="17" w:name="_Toc20827"/>
      <w:bookmarkStart w:id="18" w:name="_Toc14518"/>
      <w:r>
        <w:rPr>
          <w:rFonts w:hint="eastAsia" w:ascii="黑体" w:hAnsi="黑体" w:eastAsia="黑体" w:cs="宋体"/>
          <w:kern w:val="0"/>
          <w:sz w:val="32"/>
          <w:szCs w:val="32"/>
        </w:rPr>
        <w:t>四</w:t>
      </w:r>
      <w:r>
        <w:rPr>
          <w:rFonts w:ascii="黑体" w:hAnsi="黑体" w:eastAsia="黑体" w:cs="宋体"/>
          <w:kern w:val="0"/>
          <w:sz w:val="32"/>
          <w:szCs w:val="32"/>
        </w:rPr>
        <w:t>、预算管理</w:t>
      </w:r>
      <w:r>
        <w:rPr>
          <w:rFonts w:hint="eastAsia" w:ascii="黑体" w:hAnsi="黑体" w:eastAsia="黑体" w:cs="宋体"/>
          <w:kern w:val="0"/>
          <w:sz w:val="32"/>
          <w:szCs w:val="32"/>
        </w:rPr>
        <w:t>情况分</w:t>
      </w:r>
      <w:r>
        <w:rPr>
          <w:rFonts w:ascii="黑体" w:hAnsi="黑体" w:eastAsia="黑体" w:cs="宋体"/>
          <w:kern w:val="0"/>
          <w:sz w:val="32"/>
          <w:szCs w:val="32"/>
        </w:rPr>
        <w:t>析</w:t>
      </w:r>
      <w:bookmarkEnd w:id="17"/>
      <w:bookmarkEnd w:id="18"/>
    </w:p>
    <w:p w14:paraId="75395BC0">
      <w:pPr>
        <w:adjustRightInd w:val="0"/>
        <w:snapToGrid w:val="0"/>
        <w:spacing w:line="560" w:lineRule="exact"/>
        <w:ind w:firstLine="640" w:firstLineChars="200"/>
        <w:outlineLvl w:val="1"/>
        <w:rPr>
          <w:rFonts w:ascii="楷体_GB2312" w:eastAsia="楷体_GB2312"/>
          <w:sz w:val="32"/>
          <w:szCs w:val="32"/>
        </w:rPr>
      </w:pPr>
      <w:bookmarkStart w:id="19" w:name="_Toc16604"/>
      <w:bookmarkStart w:id="20" w:name="_Toc16241"/>
      <w:r>
        <w:rPr>
          <w:rFonts w:hint="eastAsia" w:ascii="楷体_GB2312" w:eastAsia="楷体_GB2312"/>
          <w:sz w:val="32"/>
          <w:szCs w:val="32"/>
        </w:rPr>
        <w:t>（一）财务管理</w:t>
      </w:r>
      <w:bookmarkEnd w:id="19"/>
      <w:bookmarkEnd w:id="20"/>
    </w:p>
    <w:p w14:paraId="7BE3E787">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1.财务</w:t>
      </w:r>
      <w:r>
        <w:rPr>
          <w:rFonts w:ascii="仿宋_GB2312" w:eastAsia="仿宋_GB2312"/>
          <w:bCs/>
          <w:sz w:val="32"/>
          <w:szCs w:val="32"/>
        </w:rPr>
        <w:t>管理制度健全性</w:t>
      </w:r>
    </w:p>
    <w:p w14:paraId="1F0DA53B">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为提高财政资金使用的合规性和安全性，市政务服务局2</w:t>
      </w:r>
      <w:r>
        <w:rPr>
          <w:rFonts w:ascii="仿宋_GB2312" w:hAnsi="黑体" w:eastAsia="仿宋_GB2312" w:cs="宋体"/>
          <w:sz w:val="32"/>
          <w:szCs w:val="32"/>
        </w:rPr>
        <w:t>021</w:t>
      </w:r>
      <w:r>
        <w:rPr>
          <w:rFonts w:hint="eastAsia" w:ascii="仿宋_GB2312" w:hAnsi="黑体" w:eastAsia="仿宋_GB2312" w:cs="宋体"/>
          <w:sz w:val="32"/>
          <w:szCs w:val="32"/>
        </w:rPr>
        <w:t>年9月更新印发了《北京市政务服务局内部控制手册（试行）》，制定了一套较为完备的财务管理制度，涵盖预算绩效管理、资产管理、财务运行及会计核算等共计30个制度文件（关键性制度文件见表</w:t>
      </w:r>
      <w:r>
        <w:rPr>
          <w:rFonts w:ascii="仿宋_GB2312" w:hAnsi="黑体" w:eastAsia="仿宋_GB2312" w:cs="宋体"/>
          <w:sz w:val="32"/>
          <w:szCs w:val="32"/>
        </w:rPr>
        <w:t>7</w:t>
      </w:r>
      <w:r>
        <w:rPr>
          <w:rFonts w:hint="eastAsia" w:ascii="仿宋_GB2312" w:hAnsi="黑体" w:eastAsia="仿宋_GB2312" w:cs="宋体"/>
          <w:sz w:val="32"/>
          <w:szCs w:val="32"/>
        </w:rPr>
        <w:t>），并针对预算管理、采购管理、合同管理、收支管理、资产管理及建设项目管理等内容制定了内部流程及风险控制程序，能够</w:t>
      </w:r>
      <w:r>
        <w:rPr>
          <w:rFonts w:hint="eastAsia" w:ascii="仿宋_GB2312" w:hAnsi="黑体" w:eastAsia="仿宋_GB2312" w:cs="宋体"/>
          <w:sz w:val="32"/>
          <w:szCs w:val="32"/>
          <w:lang w:val="en-US" w:eastAsia="zh-CN"/>
        </w:rPr>
        <w:t>有效</w:t>
      </w:r>
      <w:r>
        <w:rPr>
          <w:rFonts w:hint="eastAsia" w:ascii="仿宋_GB2312" w:hAnsi="黑体" w:eastAsia="仿宋_GB2312" w:cs="宋体"/>
          <w:sz w:val="32"/>
          <w:szCs w:val="32"/>
        </w:rPr>
        <w:t>保障部门履职工作的顺利开展。</w:t>
      </w:r>
    </w:p>
    <w:p w14:paraId="758CC80F">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黑体" w:eastAsia="仿宋_GB2312" w:cs="宋体"/>
          <w:sz w:val="32"/>
          <w:szCs w:val="32"/>
        </w:rPr>
        <w:t>2023年度，市政务服务局</w:t>
      </w:r>
      <w:r>
        <w:rPr>
          <w:rFonts w:hint="eastAsia" w:ascii="仿宋_GB2312" w:hAnsi="黑体" w:eastAsia="仿宋_GB2312" w:cs="宋体"/>
          <w:sz w:val="32"/>
          <w:szCs w:val="32"/>
          <w:lang w:val="en-US" w:eastAsia="zh-CN"/>
        </w:rPr>
        <w:t>继续深入推进开展</w:t>
      </w:r>
      <w:r>
        <w:rPr>
          <w:rFonts w:hint="eastAsia" w:ascii="仿宋_GB2312" w:hAnsi="黑体" w:eastAsia="仿宋_GB2312" w:cs="宋体"/>
          <w:sz w:val="32"/>
          <w:szCs w:val="32"/>
        </w:rPr>
        <w:t>建章立制工作，编制了《财务事项报请局党组会审议的程序及要件规范》《市政务服务局固定资产管理工作规范》《市政务服务局合同管理工作规范》3个内控工作规范，并基于依据性法规废止更新情况，修订了《北京市政务服务管理局固定资产管理办法》和《北京市政务服务管理局合同管理办法》2个制度，用于指导局内各处室</w:t>
      </w:r>
      <w:r>
        <w:rPr>
          <w:rFonts w:hint="eastAsia" w:ascii="仿宋_GB2312" w:hAnsi="黑体" w:eastAsia="仿宋_GB2312" w:cs="宋体"/>
          <w:sz w:val="32"/>
          <w:szCs w:val="32"/>
          <w:lang w:val="en-US" w:eastAsia="zh-CN"/>
        </w:rPr>
        <w:t>更加规范、便捷</w:t>
      </w:r>
      <w:r>
        <w:rPr>
          <w:rFonts w:hint="eastAsia" w:ascii="仿宋_GB2312" w:hAnsi="黑体" w:eastAsia="仿宋_GB2312" w:cs="宋体"/>
          <w:sz w:val="32"/>
          <w:szCs w:val="32"/>
        </w:rPr>
        <w:t>开展各项经济活动。</w:t>
      </w:r>
    </w:p>
    <w:p w14:paraId="3FFCE2A2">
      <w:pPr>
        <w:adjustRightInd w:val="0"/>
        <w:snapToGrid w:val="0"/>
        <w:spacing w:line="560" w:lineRule="exact"/>
        <w:ind w:firstLine="640" w:firstLineChars="200"/>
        <w:rPr>
          <w:rFonts w:hint="eastAsia" w:ascii="仿宋_GB2312" w:hAnsi="宋体" w:eastAsia="仿宋_GB2312" w:cs="宋体"/>
          <w:bCs/>
          <w:kern w:val="0"/>
          <w:sz w:val="32"/>
          <w:szCs w:val="32"/>
        </w:rPr>
      </w:pPr>
      <w:r>
        <w:rPr>
          <w:rFonts w:hint="eastAsia" w:ascii="仿宋_GB2312" w:hAnsi="宋体" w:eastAsia="仿宋_GB2312" w:cs="宋体"/>
          <w:bCs/>
          <w:kern w:val="0"/>
          <w:sz w:val="32"/>
          <w:szCs w:val="32"/>
        </w:rPr>
        <w:t>整体上，市政务服务局预算绩效及资产、内部财务管理、会计核算制度较为健全，但内控手册中部分试行管理办法发布时间较早、制度条文更新及时性有待进一步提升，其中会计基础工作规范、公务卡使用管理办法、公务卡使用管理办法、印鉴管理办法等制度文件</w:t>
      </w:r>
      <w:r>
        <w:rPr>
          <w:rFonts w:hint="eastAsia" w:ascii="仿宋_GB2312" w:hAnsi="宋体" w:eastAsia="仿宋_GB2312" w:cs="宋体"/>
          <w:bCs/>
          <w:kern w:val="0"/>
          <w:sz w:val="32"/>
          <w:szCs w:val="32"/>
          <w:lang w:val="en-US" w:eastAsia="zh-CN"/>
        </w:rPr>
        <w:t>应结合新的政策法规变化及履职需要适时修订</w:t>
      </w:r>
      <w:r>
        <w:rPr>
          <w:rFonts w:hint="eastAsia" w:ascii="仿宋_GB2312" w:hAnsi="宋体" w:eastAsia="仿宋_GB2312" w:cs="宋体"/>
          <w:bCs/>
          <w:kern w:val="0"/>
          <w:sz w:val="32"/>
          <w:szCs w:val="32"/>
        </w:rPr>
        <w:t>。</w:t>
      </w:r>
    </w:p>
    <w:p w14:paraId="386A74C9">
      <w:pPr>
        <w:adjustRightInd w:val="0"/>
        <w:snapToGrid w:val="0"/>
        <w:ind w:firstLine="560"/>
        <w:jc w:val="center"/>
        <w:rPr>
          <w:rFonts w:ascii="黑体" w:hAnsi="黑体" w:eastAsia="黑体" w:cs="宋体"/>
          <w:color w:val="000000"/>
          <w:kern w:val="0"/>
          <w:sz w:val="28"/>
          <w:szCs w:val="28"/>
        </w:rPr>
      </w:pPr>
      <w:r>
        <w:rPr>
          <w:rFonts w:hint="eastAsia" w:ascii="黑体" w:hAnsi="黑体" w:eastAsia="黑体" w:cs="宋体"/>
          <w:color w:val="000000"/>
          <w:kern w:val="0"/>
          <w:sz w:val="28"/>
          <w:szCs w:val="28"/>
        </w:rPr>
        <w:t>表</w:t>
      </w:r>
      <w:r>
        <w:rPr>
          <w:rFonts w:ascii="黑体" w:hAnsi="黑体" w:eastAsia="黑体" w:cs="宋体"/>
          <w:color w:val="000000"/>
          <w:kern w:val="0"/>
          <w:sz w:val="28"/>
          <w:szCs w:val="28"/>
        </w:rPr>
        <w:t>7</w:t>
      </w:r>
      <w:r>
        <w:rPr>
          <w:rFonts w:hint="eastAsia" w:ascii="黑体" w:hAnsi="黑体" w:eastAsia="黑体" w:cs="宋体"/>
          <w:color w:val="000000"/>
          <w:kern w:val="0"/>
          <w:sz w:val="28"/>
          <w:szCs w:val="28"/>
        </w:rPr>
        <w:t>：市政务服务局关键性财务管理制度一览表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932"/>
        <w:gridCol w:w="2875"/>
        <w:gridCol w:w="5093"/>
      </w:tblGrid>
      <w:tr w14:paraId="674AC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0" w:hRule="atLeast"/>
          <w:tblHeader/>
          <w:jc w:val="center"/>
        </w:trPr>
        <w:tc>
          <w:tcPr>
            <w:tcW w:w="524" w:type="pct"/>
            <w:vAlign w:val="center"/>
          </w:tcPr>
          <w:p w14:paraId="7F0C168E">
            <w:pPr>
              <w:keepNext w:val="0"/>
              <w:keepLines w:val="0"/>
              <w:widowControl/>
              <w:suppressLineNumbers w:val="0"/>
              <w:adjustRightInd w:val="0"/>
              <w:snapToGrid w:val="0"/>
              <w:spacing w:before="0" w:beforeAutospacing="0" w:after="0" w:afterAutospacing="0"/>
              <w:ind w:left="0" w:right="0"/>
              <w:jc w:val="center"/>
              <w:rPr>
                <w:rFonts w:ascii="宋体" w:hAnsi="宋体" w:cs="宋体"/>
                <w:b/>
                <w:bCs/>
                <w:color w:val="000000" w:themeColor="text1"/>
                <w:kern w:val="0"/>
                <w:sz w:val="20"/>
                <w:szCs w:val="20"/>
                <w14:textFill>
                  <w14:solidFill>
                    <w14:schemeClr w14:val="tx1"/>
                  </w14:solidFill>
                </w14:textFill>
              </w:rPr>
            </w:pPr>
            <w:r>
              <w:rPr>
                <w:rFonts w:hint="eastAsia" w:ascii="宋体" w:hAnsi="宋体" w:cs="宋体"/>
                <w:b/>
                <w:bCs/>
                <w:color w:val="000000" w:themeColor="text1"/>
                <w:kern w:val="0"/>
                <w:sz w:val="20"/>
                <w:szCs w:val="20"/>
                <w14:textFill>
                  <w14:solidFill>
                    <w14:schemeClr w14:val="tx1"/>
                  </w14:solidFill>
                </w14:textFill>
              </w:rPr>
              <w:t>分类</w:t>
            </w:r>
          </w:p>
        </w:tc>
        <w:tc>
          <w:tcPr>
            <w:tcW w:w="1615" w:type="pct"/>
            <w:shd w:val="clear" w:color="auto" w:fill="auto"/>
            <w:noWrap/>
            <w:vAlign w:val="center"/>
          </w:tcPr>
          <w:p w14:paraId="3861B6A7">
            <w:pPr>
              <w:keepNext w:val="0"/>
              <w:keepLines w:val="0"/>
              <w:widowControl/>
              <w:suppressLineNumbers w:val="0"/>
              <w:adjustRightInd w:val="0"/>
              <w:snapToGrid w:val="0"/>
              <w:spacing w:before="0" w:beforeAutospacing="0" w:after="0" w:afterAutospacing="0"/>
              <w:ind w:left="0" w:right="0" w:firstLine="402"/>
              <w:jc w:val="center"/>
              <w:rPr>
                <w:rFonts w:ascii="宋体" w:hAnsi="宋体" w:cs="宋体"/>
                <w:b/>
                <w:bCs/>
                <w:color w:val="000000" w:themeColor="text1"/>
                <w:kern w:val="0"/>
                <w:sz w:val="20"/>
                <w:szCs w:val="20"/>
                <w14:textFill>
                  <w14:solidFill>
                    <w14:schemeClr w14:val="tx1"/>
                  </w14:solidFill>
                </w14:textFill>
              </w:rPr>
            </w:pPr>
            <w:r>
              <w:rPr>
                <w:rFonts w:hint="eastAsia" w:ascii="宋体" w:hAnsi="宋体" w:cs="宋体"/>
                <w:b/>
                <w:bCs/>
                <w:color w:val="000000" w:themeColor="text1"/>
                <w:kern w:val="0"/>
                <w:sz w:val="20"/>
                <w:szCs w:val="20"/>
                <w14:textFill>
                  <w14:solidFill>
                    <w14:schemeClr w14:val="tx1"/>
                  </w14:solidFill>
                </w14:textFill>
              </w:rPr>
              <w:t>制度文件名称</w:t>
            </w:r>
          </w:p>
        </w:tc>
        <w:tc>
          <w:tcPr>
            <w:tcW w:w="2861" w:type="pct"/>
            <w:shd w:val="clear" w:color="auto" w:fill="auto"/>
            <w:noWrap/>
            <w:vAlign w:val="center"/>
          </w:tcPr>
          <w:p w14:paraId="46122F8C">
            <w:pPr>
              <w:keepNext w:val="0"/>
              <w:keepLines w:val="0"/>
              <w:widowControl/>
              <w:suppressLineNumbers w:val="0"/>
              <w:adjustRightInd w:val="0"/>
              <w:snapToGrid w:val="0"/>
              <w:spacing w:before="0" w:beforeAutospacing="0" w:after="0" w:afterAutospacing="0"/>
              <w:ind w:left="0" w:right="0" w:firstLine="402"/>
              <w:jc w:val="center"/>
              <w:rPr>
                <w:rFonts w:ascii="宋体" w:hAnsi="宋体" w:cs="宋体"/>
                <w:b/>
                <w:bCs/>
                <w:color w:val="000000" w:themeColor="text1"/>
                <w:kern w:val="0"/>
                <w:sz w:val="20"/>
                <w:szCs w:val="20"/>
                <w14:textFill>
                  <w14:solidFill>
                    <w14:schemeClr w14:val="tx1"/>
                  </w14:solidFill>
                </w14:textFill>
              </w:rPr>
            </w:pPr>
            <w:r>
              <w:rPr>
                <w:rFonts w:hint="eastAsia" w:ascii="宋体" w:hAnsi="宋体" w:cs="宋体"/>
                <w:b/>
                <w:bCs/>
                <w:color w:val="000000" w:themeColor="text1"/>
                <w:kern w:val="0"/>
                <w:sz w:val="20"/>
                <w:szCs w:val="20"/>
                <w14:textFill>
                  <w14:solidFill>
                    <w14:schemeClr w14:val="tx1"/>
                  </w14:solidFill>
                </w14:textFill>
              </w:rPr>
              <w:t>具体内容</w:t>
            </w:r>
          </w:p>
        </w:tc>
      </w:tr>
      <w:tr w14:paraId="574B4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restart"/>
            <w:vAlign w:val="center"/>
          </w:tcPr>
          <w:p w14:paraId="04BCA725">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预算绩效及资产管理办法</w:t>
            </w:r>
          </w:p>
        </w:tc>
        <w:tc>
          <w:tcPr>
            <w:tcW w:w="1615" w:type="pct"/>
            <w:shd w:val="clear" w:color="auto" w:fill="auto"/>
            <w:vAlign w:val="center"/>
          </w:tcPr>
          <w:p w14:paraId="73F6C631">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《北京市政务服务管理局预算管理办法》</w:t>
            </w:r>
          </w:p>
        </w:tc>
        <w:tc>
          <w:tcPr>
            <w:tcW w:w="2861" w:type="pct"/>
            <w:shd w:val="clear" w:color="auto" w:fill="auto"/>
            <w:vAlign w:val="center"/>
          </w:tcPr>
          <w:p w14:paraId="2752AF03">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明确了预算管理职责、预算编制、预算执行与分析、预算调整、决算与评价等方面的内容。</w:t>
            </w:r>
          </w:p>
        </w:tc>
      </w:tr>
      <w:tr w14:paraId="1C05F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430AB0A0">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4C9C69F8">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《北京市政务服务管理局预算绩效管理办法（试行）》</w:t>
            </w:r>
          </w:p>
        </w:tc>
        <w:tc>
          <w:tcPr>
            <w:tcW w:w="2861" w:type="pct"/>
            <w:shd w:val="clear" w:color="auto" w:fill="auto"/>
            <w:vAlign w:val="center"/>
          </w:tcPr>
          <w:p w14:paraId="4D4E3D02">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明确了绩效管理部门与职责、预算编制阶段绩效管理、预算执行阶段绩效管理、决算阶段绩效管理等方面的内容。</w:t>
            </w:r>
          </w:p>
        </w:tc>
      </w:tr>
      <w:tr w14:paraId="1E6E7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2BDB3A1D">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64257FA3">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《北京市政务服务管理局无形资产管理办法》</w:t>
            </w:r>
          </w:p>
        </w:tc>
        <w:tc>
          <w:tcPr>
            <w:tcW w:w="2861" w:type="pct"/>
            <w:shd w:val="clear" w:color="auto" w:fill="auto"/>
            <w:vAlign w:val="center"/>
          </w:tcPr>
          <w:p w14:paraId="6E4C6BA7">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针对无形资产的定义、取得与验收、计量和摊销、无形资产盘点与处置等内容进行了规定。</w:t>
            </w:r>
          </w:p>
        </w:tc>
      </w:tr>
      <w:tr w14:paraId="63A3C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1" w:hRule="atLeast"/>
          <w:jc w:val="center"/>
        </w:trPr>
        <w:tc>
          <w:tcPr>
            <w:tcW w:w="524" w:type="pct"/>
            <w:vMerge w:val="restart"/>
            <w:vAlign w:val="center"/>
          </w:tcPr>
          <w:p w14:paraId="5EF87912">
            <w:pPr>
              <w:keepNext w:val="0"/>
              <w:keepLines w:val="0"/>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内部财务管理制度</w:t>
            </w:r>
          </w:p>
        </w:tc>
        <w:tc>
          <w:tcPr>
            <w:tcW w:w="1615" w:type="pct"/>
            <w:shd w:val="clear" w:color="auto" w:fill="auto"/>
            <w:vAlign w:val="center"/>
          </w:tcPr>
          <w:p w14:paraId="0F74F198">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《中共北京市政务服务管理局党组关于“三重一大”事项决策实施意见》</w:t>
            </w:r>
          </w:p>
        </w:tc>
        <w:tc>
          <w:tcPr>
            <w:tcW w:w="2861" w:type="pct"/>
            <w:shd w:val="clear" w:color="auto" w:fill="auto"/>
            <w:vAlign w:val="center"/>
          </w:tcPr>
          <w:p w14:paraId="4B32CBFA">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对于三重一大事项主要内容、决策及监督检查内容进行了规定。</w:t>
            </w:r>
          </w:p>
        </w:tc>
      </w:tr>
      <w:tr w14:paraId="5D482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8" w:hRule="atLeast"/>
          <w:jc w:val="center"/>
        </w:trPr>
        <w:tc>
          <w:tcPr>
            <w:tcW w:w="524" w:type="pct"/>
            <w:vMerge w:val="continue"/>
            <w:vAlign w:val="center"/>
          </w:tcPr>
          <w:p w14:paraId="65C5E1AE">
            <w:pPr>
              <w:keepNext w:val="0"/>
              <w:keepLines w:val="0"/>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72851B5E">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《北京市政务服务管理局内部审计制度（试行）》</w:t>
            </w:r>
          </w:p>
        </w:tc>
        <w:tc>
          <w:tcPr>
            <w:tcW w:w="2861" w:type="pct"/>
            <w:shd w:val="clear" w:color="auto" w:fill="auto"/>
            <w:vAlign w:val="center"/>
          </w:tcPr>
          <w:p w14:paraId="727BE30B">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对于审计工作重点、职责与权限、审计工作程序进行了规定。</w:t>
            </w:r>
          </w:p>
        </w:tc>
      </w:tr>
      <w:tr w14:paraId="72070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4" w:hRule="atLeast"/>
          <w:jc w:val="center"/>
        </w:trPr>
        <w:tc>
          <w:tcPr>
            <w:tcW w:w="524" w:type="pct"/>
            <w:vMerge w:val="continue"/>
            <w:vAlign w:val="center"/>
          </w:tcPr>
          <w:p w14:paraId="4750B078">
            <w:pPr>
              <w:keepNext w:val="0"/>
              <w:keepLines w:val="0"/>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07BDD34A">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《北京市政务服务管理局内部控制风险评估管理办法》</w:t>
            </w:r>
          </w:p>
        </w:tc>
        <w:tc>
          <w:tcPr>
            <w:tcW w:w="2861" w:type="pct"/>
            <w:shd w:val="clear" w:color="auto" w:fill="auto"/>
            <w:vAlign w:val="center"/>
          </w:tcPr>
          <w:p w14:paraId="763C9BB5">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对于单位及业务层面的风险评估内容、风险评估程序等进行明确。</w:t>
            </w:r>
          </w:p>
        </w:tc>
      </w:tr>
      <w:tr w14:paraId="676BC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4" w:hRule="atLeast"/>
          <w:jc w:val="center"/>
        </w:trPr>
        <w:tc>
          <w:tcPr>
            <w:tcW w:w="524" w:type="pct"/>
            <w:vMerge w:val="continue"/>
            <w:vAlign w:val="center"/>
          </w:tcPr>
          <w:p w14:paraId="7E55FCC5">
            <w:pPr>
              <w:keepNext w:val="0"/>
              <w:keepLines w:val="0"/>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073B8E67">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《北京市政务服务管理局内部控制自我评价管理办法》</w:t>
            </w:r>
          </w:p>
        </w:tc>
        <w:tc>
          <w:tcPr>
            <w:tcW w:w="2861" w:type="pct"/>
            <w:shd w:val="clear" w:color="auto" w:fill="auto"/>
            <w:vAlign w:val="center"/>
          </w:tcPr>
          <w:p w14:paraId="5B1B998F">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对于内控评价程序及方式方法、评价报告的主要内容进行了规定。</w:t>
            </w:r>
          </w:p>
        </w:tc>
      </w:tr>
      <w:tr w14:paraId="18F1E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1" w:hRule="atLeast"/>
          <w:jc w:val="center"/>
        </w:trPr>
        <w:tc>
          <w:tcPr>
            <w:tcW w:w="524" w:type="pct"/>
            <w:vMerge w:val="continue"/>
            <w:vAlign w:val="center"/>
          </w:tcPr>
          <w:p w14:paraId="48D25506">
            <w:pPr>
              <w:keepNext w:val="0"/>
              <w:keepLines w:val="0"/>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4D61D8DD">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《北京市政务服务管理局项目采购管理规定》</w:t>
            </w:r>
          </w:p>
        </w:tc>
        <w:tc>
          <w:tcPr>
            <w:tcW w:w="2861" w:type="pct"/>
            <w:vMerge w:val="restart"/>
            <w:shd w:val="clear" w:color="auto" w:fill="auto"/>
            <w:vAlign w:val="center"/>
          </w:tcPr>
          <w:p w14:paraId="46C2288E">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对于政府采购零星采购及协议采购方式、采购程序、采购验收和事后管理等内容进行了规定；规定了合同的谈判、审查、签订、履行与监督、变更解除、争议处理等方面的内容。</w:t>
            </w:r>
          </w:p>
        </w:tc>
      </w:tr>
      <w:tr w14:paraId="68FAD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57B4EFAE">
            <w:pPr>
              <w:keepNext w:val="0"/>
              <w:keepLines w:val="0"/>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06D7F04E">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《北京市政务服务管理局非项目采购管理规定》</w:t>
            </w:r>
          </w:p>
        </w:tc>
        <w:tc>
          <w:tcPr>
            <w:tcW w:w="2861" w:type="pct"/>
            <w:vMerge w:val="continue"/>
            <w:shd w:val="clear" w:color="auto" w:fill="auto"/>
            <w:vAlign w:val="center"/>
          </w:tcPr>
          <w:p w14:paraId="1C949D0A">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r>
      <w:tr w14:paraId="44E74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8" w:hRule="atLeast"/>
          <w:jc w:val="center"/>
        </w:trPr>
        <w:tc>
          <w:tcPr>
            <w:tcW w:w="524" w:type="pct"/>
            <w:vMerge w:val="continue"/>
            <w:vAlign w:val="center"/>
          </w:tcPr>
          <w:p w14:paraId="2C948866">
            <w:pPr>
              <w:keepNext w:val="0"/>
              <w:keepLines w:val="0"/>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2345D854">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《北京市政务服务管理局合同管理办法》</w:t>
            </w:r>
          </w:p>
        </w:tc>
        <w:tc>
          <w:tcPr>
            <w:tcW w:w="2861" w:type="pct"/>
            <w:vMerge w:val="continue"/>
            <w:shd w:val="clear" w:color="auto" w:fill="auto"/>
            <w:vAlign w:val="center"/>
          </w:tcPr>
          <w:p w14:paraId="6C56FFB8">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r>
      <w:tr w14:paraId="039EB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4" w:hRule="atLeast"/>
          <w:jc w:val="center"/>
        </w:trPr>
        <w:tc>
          <w:tcPr>
            <w:tcW w:w="524" w:type="pct"/>
            <w:vMerge w:val="continue"/>
            <w:vAlign w:val="center"/>
          </w:tcPr>
          <w:p w14:paraId="278945F1">
            <w:pPr>
              <w:keepNext w:val="0"/>
              <w:keepLines w:val="0"/>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7FEFC77A">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《北京市政务服务管理局资金支出管理办法》</w:t>
            </w:r>
          </w:p>
        </w:tc>
        <w:tc>
          <w:tcPr>
            <w:tcW w:w="2861" w:type="pct"/>
            <w:shd w:val="clear" w:color="auto" w:fill="auto"/>
            <w:vAlign w:val="center"/>
          </w:tcPr>
          <w:p w14:paraId="52BDAA66">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规定了支出结构、支出审批、支出程序、支出责任与义务等内容。</w:t>
            </w:r>
          </w:p>
        </w:tc>
      </w:tr>
      <w:tr w14:paraId="39881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5" w:hRule="atLeast"/>
          <w:jc w:val="center"/>
        </w:trPr>
        <w:tc>
          <w:tcPr>
            <w:tcW w:w="524" w:type="pct"/>
            <w:vMerge w:val="continue"/>
            <w:vAlign w:val="center"/>
          </w:tcPr>
          <w:p w14:paraId="69A3B3F8">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0E8DC061">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《北京市政务服务管理局内部财务信息公开实施方案》</w:t>
            </w:r>
          </w:p>
        </w:tc>
        <w:tc>
          <w:tcPr>
            <w:tcW w:w="2861" w:type="pct"/>
            <w:shd w:val="clear" w:color="auto" w:fill="auto"/>
            <w:vAlign w:val="center"/>
          </w:tcPr>
          <w:p w14:paraId="59C904B5">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对于内部财务信息公开的内容、公开的时间、公开的方式进行了明确。</w:t>
            </w:r>
          </w:p>
        </w:tc>
      </w:tr>
      <w:tr w14:paraId="734D5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3DCF002C">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7A5BA821">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《北京市政务服务管理局建设工程项目管理办法》</w:t>
            </w:r>
          </w:p>
        </w:tc>
        <w:tc>
          <w:tcPr>
            <w:tcW w:w="2861" w:type="pct"/>
            <w:shd w:val="clear" w:color="auto" w:fill="auto"/>
            <w:vAlign w:val="center"/>
          </w:tcPr>
          <w:p w14:paraId="07C77F4E">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规定了建设工程项目内涵、管理职责划分、工程项目进度款支付管理、审批工作程序、竣工决算管理等内容。</w:t>
            </w:r>
          </w:p>
        </w:tc>
      </w:tr>
      <w:tr w14:paraId="04303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restart"/>
            <w:vAlign w:val="center"/>
          </w:tcPr>
          <w:p w14:paraId="2D5F3323">
            <w:pPr>
              <w:keepNext w:val="0"/>
              <w:keepLines w:val="0"/>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会计核算制度</w:t>
            </w:r>
          </w:p>
        </w:tc>
        <w:tc>
          <w:tcPr>
            <w:tcW w:w="1615" w:type="pct"/>
            <w:shd w:val="clear" w:color="auto" w:fill="auto"/>
            <w:vAlign w:val="center"/>
          </w:tcPr>
          <w:p w14:paraId="6FC3B3B9">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《北京市政务服务管理局会计基础工作规范</w:t>
            </w:r>
            <w:r>
              <w:rPr>
                <w:rFonts w:hint="eastAsia" w:ascii="宋体" w:hAnsi="宋体" w:cs="宋体"/>
                <w:color w:val="000000" w:themeColor="text1"/>
                <w:kern w:val="0"/>
                <w:sz w:val="20"/>
                <w:szCs w:val="20"/>
                <w:lang w:eastAsia="zh-CN"/>
                <w14:textFill>
                  <w14:solidFill>
                    <w14:schemeClr w14:val="tx1"/>
                  </w14:solidFill>
                </w14:textFill>
              </w:rPr>
              <w:t>（</w:t>
            </w:r>
            <w:r>
              <w:rPr>
                <w:rFonts w:hint="eastAsia" w:ascii="宋体" w:hAnsi="宋体" w:cs="宋体"/>
                <w:color w:val="000000" w:themeColor="text1"/>
                <w:kern w:val="0"/>
                <w:sz w:val="20"/>
                <w:szCs w:val="20"/>
                <w14:textFill>
                  <w14:solidFill>
                    <w14:schemeClr w14:val="tx1"/>
                  </w14:solidFill>
                </w14:textFill>
              </w:rPr>
              <w:t>试行</w:t>
            </w:r>
            <w:r>
              <w:rPr>
                <w:rFonts w:hint="eastAsia" w:ascii="宋体" w:hAnsi="宋体" w:cs="宋体"/>
                <w:color w:val="000000" w:themeColor="text1"/>
                <w:kern w:val="0"/>
                <w:sz w:val="20"/>
                <w:szCs w:val="20"/>
                <w:lang w:eastAsia="zh-CN"/>
                <w14:textFill>
                  <w14:solidFill>
                    <w14:schemeClr w14:val="tx1"/>
                  </w14:solidFill>
                </w14:textFill>
              </w:rPr>
              <w:t>）</w:t>
            </w:r>
            <w:r>
              <w:rPr>
                <w:rFonts w:hint="eastAsia" w:ascii="宋体" w:hAnsi="宋体" w:cs="宋体"/>
                <w:color w:val="000000" w:themeColor="text1"/>
                <w:kern w:val="0"/>
                <w:sz w:val="20"/>
                <w:szCs w:val="20"/>
                <w14:textFill>
                  <w14:solidFill>
                    <w14:schemeClr w14:val="tx1"/>
                  </w14:solidFill>
                </w14:textFill>
              </w:rPr>
              <w:t>》</w:t>
            </w:r>
          </w:p>
        </w:tc>
        <w:tc>
          <w:tcPr>
            <w:tcW w:w="2861" w:type="pct"/>
            <w:shd w:val="clear" w:color="auto" w:fill="auto"/>
            <w:vAlign w:val="center"/>
          </w:tcPr>
          <w:p w14:paraId="67E6E0CC">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对于</w:t>
            </w:r>
            <w:r>
              <w:rPr>
                <w:rFonts w:hint="eastAsia" w:ascii="宋体" w:hAnsi="宋体" w:cs="宋体"/>
                <w:color w:val="000000" w:themeColor="text1"/>
                <w:kern w:val="0"/>
                <w:sz w:val="20"/>
                <w:szCs w:val="20"/>
                <w:lang w:eastAsia="zh-CN"/>
                <w14:textFill>
                  <w14:solidFill>
                    <w14:schemeClr w14:val="tx1"/>
                  </w14:solidFill>
                </w14:textFill>
              </w:rPr>
              <w:t>会计核算</w:t>
            </w:r>
            <w:r>
              <w:rPr>
                <w:rFonts w:hint="eastAsia" w:ascii="宋体" w:hAnsi="宋体" w:cs="宋体"/>
                <w:color w:val="000000" w:themeColor="text1"/>
                <w:kern w:val="0"/>
                <w:sz w:val="20"/>
                <w:szCs w:val="20"/>
                <w14:textFill>
                  <w14:solidFill>
                    <w14:schemeClr w14:val="tx1"/>
                  </w14:solidFill>
                </w14:textFill>
              </w:rPr>
              <w:t>的内容与方式方法、会计凭证管理、会计账簿登记、财务报告编制、会计监督、会计工作交接、印章及发票开具工作规范进行了规定。</w:t>
            </w:r>
          </w:p>
        </w:tc>
      </w:tr>
      <w:tr w14:paraId="0EABD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01772F82">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7ABDACE0">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《北京市政务服务管理局印鉴管理办法（试行）》</w:t>
            </w:r>
          </w:p>
        </w:tc>
        <w:tc>
          <w:tcPr>
            <w:tcW w:w="2861" w:type="pct"/>
            <w:shd w:val="clear" w:color="auto" w:fill="auto"/>
            <w:vAlign w:val="center"/>
          </w:tcPr>
          <w:p w14:paraId="048800E2">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明确了印章的刻制、变更和销毁以及印章的存放与保管、印章的使用管理等内容。</w:t>
            </w:r>
          </w:p>
        </w:tc>
      </w:tr>
      <w:tr w14:paraId="27189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1D04DE2C">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471FF3E3">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《北京市政务服务管理局会计档案管理办法（试行）》</w:t>
            </w:r>
          </w:p>
        </w:tc>
        <w:tc>
          <w:tcPr>
            <w:tcW w:w="2861" w:type="pct"/>
            <w:shd w:val="clear" w:color="auto" w:fill="auto"/>
            <w:vAlign w:val="center"/>
          </w:tcPr>
          <w:p w14:paraId="6AC71C6C">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对会计档案的立卷、归档、保管、查阅和销毁等管理程序进行了明确。</w:t>
            </w:r>
          </w:p>
        </w:tc>
      </w:tr>
      <w:tr w14:paraId="7ACA0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46DC58A0">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67FA0A1E">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《北京市政务服务管理局银行账户管理办法》</w:t>
            </w:r>
          </w:p>
        </w:tc>
        <w:tc>
          <w:tcPr>
            <w:tcW w:w="2861" w:type="pct"/>
            <w:shd w:val="clear" w:color="auto" w:fill="auto"/>
            <w:vAlign w:val="center"/>
          </w:tcPr>
          <w:p w14:paraId="23A2D791">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规定了银行账户管理、支票与印章管理等内容。</w:t>
            </w:r>
          </w:p>
        </w:tc>
      </w:tr>
      <w:tr w14:paraId="59B14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2E59D416">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22AB986D">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《北京市政务服务管理局现金管理办法（试行）》</w:t>
            </w:r>
          </w:p>
        </w:tc>
        <w:tc>
          <w:tcPr>
            <w:tcW w:w="2861" w:type="pct"/>
            <w:shd w:val="clear" w:color="auto" w:fill="auto"/>
            <w:vAlign w:val="center"/>
          </w:tcPr>
          <w:p w14:paraId="47E6DED8">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规定了现金提取与使用、大额现金提取与使用、现金管理等内容。</w:t>
            </w:r>
          </w:p>
        </w:tc>
      </w:tr>
      <w:tr w14:paraId="10961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524" w:type="pct"/>
            <w:vMerge w:val="continue"/>
            <w:vAlign w:val="center"/>
          </w:tcPr>
          <w:p w14:paraId="07F4CDF1">
            <w:pPr>
              <w:keepNext w:val="0"/>
              <w:keepLines w:val="0"/>
              <w:widowControl/>
              <w:suppressLineNumbers w:val="0"/>
              <w:adjustRightInd w:val="0"/>
              <w:snapToGrid w:val="0"/>
              <w:spacing w:before="0" w:beforeAutospacing="0" w:after="0" w:afterAutospacing="0"/>
              <w:ind w:left="0" w:right="0" w:firstLine="400"/>
              <w:jc w:val="center"/>
              <w:rPr>
                <w:rFonts w:ascii="宋体" w:hAnsi="宋体" w:cs="宋体"/>
                <w:color w:val="000000" w:themeColor="text1"/>
                <w:kern w:val="0"/>
                <w:sz w:val="20"/>
                <w:szCs w:val="20"/>
                <w14:textFill>
                  <w14:solidFill>
                    <w14:schemeClr w14:val="tx1"/>
                  </w14:solidFill>
                </w14:textFill>
              </w:rPr>
            </w:pPr>
          </w:p>
        </w:tc>
        <w:tc>
          <w:tcPr>
            <w:tcW w:w="1615" w:type="pct"/>
            <w:shd w:val="clear" w:color="auto" w:fill="auto"/>
            <w:vAlign w:val="center"/>
          </w:tcPr>
          <w:p w14:paraId="7A393318">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《北京市政务服务管理局公务卡使用管理办法（试行）》</w:t>
            </w:r>
          </w:p>
        </w:tc>
        <w:tc>
          <w:tcPr>
            <w:tcW w:w="2861" w:type="pct"/>
            <w:shd w:val="clear" w:color="auto" w:fill="auto"/>
            <w:vAlign w:val="center"/>
          </w:tcPr>
          <w:p w14:paraId="2339B18A">
            <w:pPr>
              <w:keepNext w:val="0"/>
              <w:keepLines w:val="0"/>
              <w:widowControl/>
              <w:suppressLineNumbers w:val="0"/>
              <w:adjustRightInd w:val="0"/>
              <w:snapToGrid w:val="0"/>
              <w:spacing w:before="0" w:beforeAutospacing="0" w:after="0" w:afterAutospacing="0"/>
              <w:ind w:left="0" w:right="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规定了公务卡日常管理、支付管理、报销管理等职责。</w:t>
            </w:r>
          </w:p>
        </w:tc>
      </w:tr>
    </w:tbl>
    <w:p w14:paraId="28CD7753">
      <w:pPr>
        <w:adjustRightInd w:val="0"/>
        <w:snapToGrid w:val="0"/>
        <w:spacing w:line="360" w:lineRule="auto"/>
        <w:ind w:firstLine="400" w:firstLineChars="200"/>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br w:type="page"/>
      </w:r>
    </w:p>
    <w:p w14:paraId="5967FDE7">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2.资金使用合规性</w:t>
      </w:r>
      <w:r>
        <w:rPr>
          <w:rFonts w:ascii="仿宋_GB2312" w:eastAsia="仿宋_GB2312"/>
          <w:bCs/>
          <w:sz w:val="32"/>
          <w:szCs w:val="32"/>
        </w:rPr>
        <w:t>和安全性</w:t>
      </w:r>
    </w:p>
    <w:p w14:paraId="01C379FE">
      <w:pPr>
        <w:adjustRightInd w:val="0"/>
        <w:snapToGrid w:val="0"/>
        <w:spacing w:line="560" w:lineRule="exact"/>
        <w:ind w:firstLine="640" w:firstLineChars="200"/>
        <w:rPr>
          <w:rFonts w:eastAsia="仿宋_GB2312"/>
          <w:sz w:val="32"/>
          <w:szCs w:val="32"/>
        </w:rPr>
      </w:pPr>
      <w:r>
        <w:rPr>
          <w:rFonts w:hint="eastAsia" w:eastAsia="仿宋_GB2312"/>
          <w:sz w:val="32"/>
          <w:szCs w:val="32"/>
        </w:rPr>
        <w:t>市政务服务局严格按照国家及部门相关财务管理制度规定的开支范围与标准执行，政府采购限额以上的项目采购及采购限额以下的零星采购、协议采购均按照相关程序及方式执行，资金支出严格履行市政务服务局内部审批权限及流程，对于部门重大事项、重要人事安排、大额资金使用等内容，均由局党组会集体讨论和研究确定。各</w:t>
      </w:r>
      <w:r>
        <w:rPr>
          <w:rFonts w:hint="eastAsia" w:eastAsia="仿宋_GB2312"/>
          <w:sz w:val="32"/>
          <w:szCs w:val="32"/>
          <w:lang w:val="en-US" w:eastAsia="zh-CN"/>
        </w:rPr>
        <w:t>类</w:t>
      </w:r>
      <w:r>
        <w:rPr>
          <w:rFonts w:hint="eastAsia" w:eastAsia="仿宋_GB2312"/>
          <w:sz w:val="32"/>
          <w:szCs w:val="32"/>
        </w:rPr>
        <w:t>资金</w:t>
      </w:r>
      <w:r>
        <w:rPr>
          <w:rFonts w:hint="eastAsia" w:eastAsia="仿宋_GB2312"/>
          <w:sz w:val="32"/>
          <w:szCs w:val="32"/>
          <w:lang w:val="en-US" w:eastAsia="zh-CN"/>
        </w:rPr>
        <w:t>使用均</w:t>
      </w:r>
      <w:r>
        <w:rPr>
          <w:rFonts w:hint="eastAsia" w:eastAsia="仿宋_GB2312"/>
          <w:sz w:val="32"/>
          <w:szCs w:val="32"/>
        </w:rPr>
        <w:t>根据年度用款计划及合同约定支出，对于本年度支出计划</w:t>
      </w:r>
      <w:r>
        <w:rPr>
          <w:rFonts w:hint="eastAsia" w:eastAsia="仿宋_GB2312"/>
          <w:sz w:val="32"/>
          <w:szCs w:val="32"/>
          <w:lang w:val="en-US" w:eastAsia="zh-CN"/>
        </w:rPr>
        <w:t>发生变化</w:t>
      </w:r>
      <w:r>
        <w:rPr>
          <w:rFonts w:hint="eastAsia" w:eastAsia="仿宋_GB2312"/>
          <w:sz w:val="32"/>
          <w:szCs w:val="32"/>
        </w:rPr>
        <w:t>的</w:t>
      </w:r>
      <w:r>
        <w:rPr>
          <w:rFonts w:hint="eastAsia" w:eastAsia="仿宋_GB2312"/>
          <w:sz w:val="32"/>
          <w:szCs w:val="32"/>
          <w:lang w:val="en-US" w:eastAsia="zh-CN"/>
        </w:rPr>
        <w:t>项目</w:t>
      </w:r>
      <w:r>
        <w:rPr>
          <w:rFonts w:hint="eastAsia" w:eastAsia="仿宋_GB2312"/>
          <w:sz w:val="32"/>
          <w:szCs w:val="32"/>
        </w:rPr>
        <w:t>，及时调整预算，并将</w:t>
      </w:r>
      <w:r>
        <w:rPr>
          <w:rFonts w:hint="eastAsia" w:eastAsia="仿宋_GB2312"/>
          <w:sz w:val="32"/>
          <w:szCs w:val="32"/>
          <w:lang w:val="en-US" w:eastAsia="zh-CN"/>
        </w:rPr>
        <w:t>结余</w:t>
      </w:r>
      <w:r>
        <w:rPr>
          <w:rFonts w:hint="eastAsia" w:eastAsia="仿宋_GB2312"/>
          <w:sz w:val="32"/>
          <w:szCs w:val="32"/>
        </w:rPr>
        <w:t>资金</w:t>
      </w:r>
      <w:r>
        <w:rPr>
          <w:rFonts w:hint="eastAsia" w:eastAsia="仿宋_GB2312"/>
          <w:sz w:val="32"/>
          <w:szCs w:val="32"/>
          <w:lang w:val="en-US" w:eastAsia="zh-CN"/>
        </w:rPr>
        <w:t>及时</w:t>
      </w:r>
      <w:r>
        <w:rPr>
          <w:rFonts w:hint="eastAsia" w:eastAsia="仿宋_GB2312"/>
          <w:sz w:val="32"/>
          <w:szCs w:val="32"/>
        </w:rPr>
        <w:t>交回财政，</w:t>
      </w:r>
      <w:r>
        <w:rPr>
          <w:rFonts w:hint="eastAsia" w:eastAsia="仿宋_GB2312"/>
          <w:sz w:val="32"/>
          <w:szCs w:val="32"/>
          <w:lang w:val="en-US" w:eastAsia="zh-CN"/>
        </w:rPr>
        <w:t>无</w:t>
      </w:r>
      <w:r>
        <w:rPr>
          <w:rFonts w:hint="eastAsia" w:eastAsia="仿宋_GB2312"/>
          <w:sz w:val="32"/>
          <w:szCs w:val="32"/>
        </w:rPr>
        <w:t>截留、挤占、挪用</w:t>
      </w:r>
      <w:r>
        <w:rPr>
          <w:rFonts w:hint="eastAsia" w:eastAsia="仿宋_GB2312"/>
          <w:sz w:val="32"/>
          <w:szCs w:val="32"/>
          <w:lang w:val="en-US" w:eastAsia="zh-CN"/>
        </w:rPr>
        <w:t>资金</w:t>
      </w:r>
      <w:r>
        <w:rPr>
          <w:rFonts w:hint="eastAsia" w:eastAsia="仿宋_GB2312"/>
          <w:sz w:val="32"/>
          <w:szCs w:val="32"/>
        </w:rPr>
        <w:t>情况。市政务服务局严格执行公务卡强制结算目录，凡目录规定的公务支出项目，均通过国库集中支付系统和公务卡支出系统按照报销提请、还款、资金退回、账务处理与对账等规定程序使用公务卡结算。</w:t>
      </w:r>
    </w:p>
    <w:p w14:paraId="535E79AB">
      <w:pPr>
        <w:adjustRightInd w:val="0"/>
        <w:snapToGrid w:val="0"/>
        <w:spacing w:line="560" w:lineRule="exact"/>
        <w:ind w:firstLine="640" w:firstLineChars="200"/>
        <w:rPr>
          <w:rFonts w:hint="default" w:eastAsia="仿宋_GB2312"/>
          <w:sz w:val="32"/>
          <w:szCs w:val="32"/>
          <w:lang w:val="en-US" w:eastAsia="zh-CN"/>
        </w:rPr>
      </w:pPr>
      <w:r>
        <w:rPr>
          <w:rFonts w:hint="eastAsia" w:eastAsia="仿宋_GB2312"/>
          <w:sz w:val="32"/>
          <w:szCs w:val="32"/>
        </w:rPr>
        <w:t>整体上，市政务服务局资金使用合规、安全、有效，</w:t>
      </w:r>
      <w:r>
        <w:rPr>
          <w:rFonts w:hint="eastAsia" w:eastAsia="仿宋_GB2312"/>
          <w:sz w:val="32"/>
          <w:szCs w:val="32"/>
          <w:lang w:val="en-US" w:eastAsia="zh-CN"/>
        </w:rPr>
        <w:t>但个别项目经费测算的科学性有待提高</w:t>
      </w:r>
      <w:r>
        <w:rPr>
          <w:rFonts w:hint="eastAsia" w:eastAsia="仿宋_GB2312"/>
          <w:sz w:val="32"/>
          <w:szCs w:val="32"/>
        </w:rPr>
        <w:t>，如“机关运行保障经费项目”</w:t>
      </w:r>
      <w:r>
        <w:rPr>
          <w:rFonts w:hint="eastAsia" w:eastAsia="仿宋_GB2312"/>
          <w:sz w:val="32"/>
          <w:szCs w:val="32"/>
          <w:lang w:val="en-US" w:eastAsia="zh-CN"/>
        </w:rPr>
        <w:t>预算执行率较低、</w:t>
      </w:r>
      <w:r>
        <w:rPr>
          <w:rFonts w:hint="eastAsia" w:eastAsia="仿宋_GB2312"/>
          <w:sz w:val="32"/>
          <w:szCs w:val="32"/>
        </w:rPr>
        <w:t>仅为</w:t>
      </w:r>
      <w:r>
        <w:rPr>
          <w:rFonts w:ascii="仿宋_GB2312" w:eastAsia="仿宋_GB2312"/>
          <w:sz w:val="32"/>
          <w:szCs w:val="32"/>
        </w:rPr>
        <w:t>40.75%</w:t>
      </w:r>
      <w:r>
        <w:rPr>
          <w:rFonts w:hint="eastAsia" w:eastAsia="仿宋_GB2312"/>
          <w:sz w:val="32"/>
          <w:szCs w:val="32"/>
          <w:lang w:val="en-US" w:eastAsia="zh-CN"/>
        </w:rPr>
        <w:t>。</w:t>
      </w:r>
    </w:p>
    <w:p w14:paraId="2EA7817B">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3.</w:t>
      </w:r>
      <w:r>
        <w:rPr>
          <w:rFonts w:hint="eastAsia" w:ascii="仿宋_GB2312" w:eastAsia="仿宋_GB2312"/>
          <w:bCs/>
          <w:sz w:val="32"/>
          <w:szCs w:val="32"/>
        </w:rPr>
        <w:t>会计</w:t>
      </w:r>
      <w:r>
        <w:rPr>
          <w:rFonts w:ascii="仿宋_GB2312" w:eastAsia="仿宋_GB2312"/>
          <w:bCs/>
          <w:sz w:val="32"/>
          <w:szCs w:val="32"/>
        </w:rPr>
        <w:t>基础信息完善性</w:t>
      </w:r>
    </w:p>
    <w:p w14:paraId="4C0A00FB">
      <w:pPr>
        <w:adjustRightInd w:val="0"/>
        <w:snapToGrid w:val="0"/>
        <w:spacing w:line="560" w:lineRule="exact"/>
        <w:ind w:firstLine="640" w:firstLineChars="200"/>
        <w:rPr>
          <w:rFonts w:eastAsia="仿宋_GB2312"/>
          <w:sz w:val="32"/>
          <w:szCs w:val="32"/>
        </w:rPr>
      </w:pPr>
      <w:r>
        <w:rPr>
          <w:rFonts w:hint="eastAsia" w:ascii="仿宋_GB2312" w:eastAsia="仿宋_GB2312"/>
          <w:bCs/>
          <w:sz w:val="32"/>
          <w:szCs w:val="32"/>
        </w:rPr>
        <w:t>市政务服务局严格实行财务会计和预算会计适度分离并相互衔接的会计核算模式，财</w:t>
      </w:r>
      <w:r>
        <w:rPr>
          <w:rFonts w:hint="eastAsia" w:eastAsia="仿宋_GB2312"/>
          <w:sz w:val="32"/>
          <w:szCs w:val="32"/>
        </w:rPr>
        <w:t>务会计采用权责发生制，通过资产、负债、净资产、收入、费用五个要素进行财务会计核算，预算会计采用收付实现制，通过预算收入、预算支出和预算结余三个要素进行预算会计核算。市政务服务局</w:t>
      </w:r>
      <w:r>
        <w:rPr>
          <w:rFonts w:hint="eastAsia" w:eastAsia="仿宋_GB2312"/>
          <w:sz w:val="32"/>
          <w:szCs w:val="32"/>
          <w:lang w:val="en-US" w:eastAsia="zh-CN"/>
        </w:rPr>
        <w:t>严格</w:t>
      </w:r>
      <w:r>
        <w:rPr>
          <w:rFonts w:hint="eastAsia" w:eastAsia="仿宋_GB2312"/>
          <w:sz w:val="32"/>
          <w:szCs w:val="32"/>
        </w:rPr>
        <w:t>执行上述财务管理制度，对经费支出流程、政府采购等均履行了相应的审批、核算及拨付程序和手续，会计凭证、会计账簿、会计报表及其相关的电算化数据规范完整、真实详尽，原始凭证及记账凭证内容要素、签名签章齐全。会计账簿记录与原始凭证、记账凭证的时间、凭证字号、内容、金额一致，记账方向相符；总账与明细账相符，总账与日记账相符；会计账簿记录与财产等实有数额相符。此外，市政务服务局按照规定履行了期末结账及财务报告编制工作。</w:t>
      </w:r>
    </w:p>
    <w:p w14:paraId="092D871C">
      <w:pPr>
        <w:adjustRightInd w:val="0"/>
        <w:snapToGrid w:val="0"/>
        <w:spacing w:line="560" w:lineRule="exact"/>
        <w:ind w:firstLine="640" w:firstLineChars="200"/>
        <w:outlineLvl w:val="1"/>
        <w:rPr>
          <w:rFonts w:ascii="楷体_GB2312" w:eastAsia="楷体_GB2312"/>
          <w:sz w:val="32"/>
          <w:szCs w:val="32"/>
        </w:rPr>
      </w:pPr>
      <w:bookmarkStart w:id="21" w:name="_Toc13518"/>
      <w:bookmarkStart w:id="22" w:name="_Toc18610"/>
      <w:r>
        <w:rPr>
          <w:rFonts w:hint="eastAsia" w:ascii="楷体_GB2312" w:eastAsia="楷体_GB2312"/>
          <w:sz w:val="32"/>
          <w:szCs w:val="32"/>
        </w:rPr>
        <w:t>（二）资产管理</w:t>
      </w:r>
      <w:bookmarkEnd w:id="21"/>
      <w:bookmarkEnd w:id="22"/>
    </w:p>
    <w:p w14:paraId="64E31B9A">
      <w:pPr>
        <w:pStyle w:val="4"/>
        <w:adjustRightInd w:val="0"/>
        <w:snapToGrid w:val="0"/>
        <w:spacing w:line="560" w:lineRule="exact"/>
        <w:ind w:firstLine="640" w:firstLineChars="200"/>
        <w:rPr>
          <w:color w:val="000000"/>
          <w:sz w:val="32"/>
          <w:szCs w:val="32"/>
        </w:rPr>
      </w:pPr>
      <w:r>
        <w:rPr>
          <w:color w:val="000000"/>
          <w:sz w:val="32"/>
          <w:szCs w:val="32"/>
        </w:rPr>
        <w:t>按照市财政局和</w:t>
      </w:r>
      <w:r>
        <w:rPr>
          <w:rFonts w:hint="eastAsia"/>
          <w:color w:val="000000"/>
          <w:sz w:val="32"/>
          <w:szCs w:val="32"/>
        </w:rPr>
        <w:t>市政务服务局</w:t>
      </w:r>
      <w:r>
        <w:rPr>
          <w:color w:val="000000"/>
          <w:sz w:val="32"/>
          <w:szCs w:val="32"/>
        </w:rPr>
        <w:t>的相关</w:t>
      </w:r>
      <w:r>
        <w:rPr>
          <w:rFonts w:hint="eastAsia"/>
          <w:color w:val="000000"/>
          <w:sz w:val="32"/>
          <w:szCs w:val="32"/>
        </w:rPr>
        <w:t>资产管理</w:t>
      </w:r>
      <w:r>
        <w:rPr>
          <w:color w:val="000000"/>
          <w:sz w:val="32"/>
          <w:szCs w:val="32"/>
        </w:rPr>
        <w:t>规定，</w:t>
      </w:r>
      <w:r>
        <w:rPr>
          <w:rFonts w:hint="eastAsia"/>
          <w:color w:val="000000"/>
          <w:sz w:val="32"/>
          <w:szCs w:val="32"/>
        </w:rPr>
        <w:t>市政务服务局</w:t>
      </w:r>
      <w:r>
        <w:rPr>
          <w:color w:val="000000"/>
          <w:sz w:val="32"/>
          <w:szCs w:val="32"/>
        </w:rPr>
        <w:t>完成</w:t>
      </w:r>
      <w:r>
        <w:rPr>
          <w:rFonts w:hint="eastAsia"/>
          <w:color w:val="000000"/>
          <w:sz w:val="32"/>
          <w:szCs w:val="32"/>
        </w:rPr>
        <w:t>了</w:t>
      </w:r>
      <w:r>
        <w:rPr>
          <w:color w:val="000000"/>
          <w:sz w:val="32"/>
          <w:szCs w:val="32"/>
        </w:rPr>
        <w:t>国有资产的动态管理工作，主要包括</w:t>
      </w:r>
      <w:r>
        <w:rPr>
          <w:rFonts w:hint="eastAsia"/>
          <w:color w:val="000000"/>
          <w:sz w:val="32"/>
          <w:szCs w:val="32"/>
        </w:rPr>
        <w:t>：</w:t>
      </w:r>
      <w:r>
        <w:rPr>
          <w:color w:val="000000"/>
          <w:sz w:val="32"/>
          <w:szCs w:val="32"/>
        </w:rPr>
        <w:t>对新增</w:t>
      </w:r>
      <w:r>
        <w:rPr>
          <w:rFonts w:hint="eastAsia"/>
          <w:color w:val="000000"/>
          <w:sz w:val="32"/>
          <w:szCs w:val="32"/>
        </w:rPr>
        <w:t>固定</w:t>
      </w:r>
      <w:r>
        <w:rPr>
          <w:color w:val="000000"/>
          <w:sz w:val="32"/>
          <w:szCs w:val="32"/>
        </w:rPr>
        <w:t>资产按时入库</w:t>
      </w:r>
      <w:r>
        <w:rPr>
          <w:rFonts w:hint="eastAsia"/>
          <w:color w:val="000000"/>
          <w:sz w:val="32"/>
          <w:szCs w:val="32"/>
        </w:rPr>
        <w:t>、</w:t>
      </w:r>
      <w:r>
        <w:rPr>
          <w:color w:val="000000"/>
          <w:sz w:val="32"/>
          <w:szCs w:val="32"/>
        </w:rPr>
        <w:t>纳入</w:t>
      </w:r>
      <w:r>
        <w:rPr>
          <w:rFonts w:hint="eastAsia"/>
          <w:color w:val="000000"/>
          <w:sz w:val="32"/>
          <w:szCs w:val="32"/>
        </w:rPr>
        <w:t>日</w:t>
      </w:r>
      <w:r>
        <w:rPr>
          <w:color w:val="000000"/>
          <w:sz w:val="32"/>
          <w:szCs w:val="32"/>
        </w:rPr>
        <w:t>常管理；根据实际情况，及时更改资产的相关数据，做到账实相符；按照相关规定进行固定资产处置的申报、审批程序，保证资产发挥最大使用效益</w:t>
      </w:r>
      <w:r>
        <w:rPr>
          <w:rFonts w:hint="eastAsia"/>
          <w:color w:val="000000"/>
          <w:sz w:val="32"/>
          <w:szCs w:val="32"/>
        </w:rPr>
        <w:t>。</w:t>
      </w:r>
      <w:r>
        <w:rPr>
          <w:rFonts w:hint="eastAsia" w:ascii="仿宋_GB2312" w:hAnsi="仿宋_GB2312" w:cs="仿宋_GB2312"/>
          <w:sz w:val="32"/>
          <w:szCs w:val="32"/>
        </w:rPr>
        <w:t>市政务服务局通过固定资产动态库及资产使用账双重管理，使用地点、使用部门、使用人均比较明确，部门固定资产使用率较高。</w:t>
      </w:r>
    </w:p>
    <w:p w14:paraId="288B77D7">
      <w:pPr>
        <w:pStyle w:val="4"/>
        <w:adjustRightInd w:val="0"/>
        <w:snapToGrid w:val="0"/>
        <w:spacing w:line="560" w:lineRule="exact"/>
        <w:ind w:firstLine="640" w:firstLineChars="200"/>
        <w:rPr>
          <w:rFonts w:ascii="仿宋_GB2312" w:hAnsi="仿宋_GB2312" w:cs="仿宋_GB2312"/>
          <w:sz w:val="32"/>
          <w:szCs w:val="32"/>
        </w:rPr>
      </w:pPr>
      <w:r>
        <w:rPr>
          <w:rFonts w:hint="eastAsia" w:ascii="仿宋_GB2312" w:hAnsi="仿宋_GB2312" w:cs="仿宋_GB2312"/>
          <w:sz w:val="32"/>
          <w:szCs w:val="32"/>
        </w:rPr>
        <w:t>从资产配置来看，2</w:t>
      </w:r>
      <w:r>
        <w:rPr>
          <w:rFonts w:ascii="仿宋_GB2312" w:hAnsi="仿宋_GB2312" w:cs="仿宋_GB2312"/>
          <w:sz w:val="32"/>
          <w:szCs w:val="32"/>
        </w:rPr>
        <w:t>02</w:t>
      </w:r>
      <w:r>
        <w:rPr>
          <w:rFonts w:hint="eastAsia" w:ascii="仿宋_GB2312" w:hAnsi="仿宋_GB2312" w:cs="仿宋_GB2312"/>
          <w:sz w:val="32"/>
          <w:szCs w:val="32"/>
        </w:rPr>
        <w:t>3年年初市政务服务局固定资产累计为</w:t>
      </w:r>
      <w:r>
        <w:rPr>
          <w:rFonts w:ascii="仿宋_GB2312" w:hAnsi="仿宋_GB2312" w:cs="仿宋_GB2312"/>
          <w:sz w:val="32"/>
          <w:szCs w:val="32"/>
        </w:rPr>
        <w:t>6,031.51</w:t>
      </w:r>
      <w:r>
        <w:rPr>
          <w:rFonts w:hint="eastAsia" w:ascii="仿宋_GB2312" w:hAnsi="仿宋_GB2312" w:cs="仿宋_GB2312"/>
          <w:sz w:val="32"/>
          <w:szCs w:val="32"/>
        </w:rPr>
        <w:t>万元（其中折旧值为</w:t>
      </w:r>
      <w:r>
        <w:rPr>
          <w:rFonts w:ascii="仿宋_GB2312" w:hAnsi="仿宋_GB2312" w:cs="仿宋_GB2312"/>
          <w:sz w:val="32"/>
          <w:szCs w:val="32"/>
        </w:rPr>
        <w:t>2,682.40</w:t>
      </w:r>
      <w:r>
        <w:rPr>
          <w:rFonts w:hint="eastAsia" w:ascii="仿宋_GB2312" w:hAnsi="仿宋_GB2312" w:cs="仿宋_GB2312"/>
          <w:sz w:val="32"/>
          <w:szCs w:val="32"/>
        </w:rPr>
        <w:t>万元），年末累计为</w:t>
      </w:r>
      <w:r>
        <w:rPr>
          <w:rFonts w:ascii="仿宋_GB2312" w:hAnsi="仿宋_GB2312" w:cs="仿宋_GB2312"/>
          <w:sz w:val="32"/>
          <w:szCs w:val="32"/>
        </w:rPr>
        <w:t>6,045.13</w:t>
      </w:r>
      <w:r>
        <w:rPr>
          <w:rFonts w:hint="eastAsia" w:ascii="仿宋_GB2312" w:hAnsi="仿宋_GB2312" w:cs="仿宋_GB2312"/>
          <w:sz w:val="32"/>
          <w:szCs w:val="32"/>
        </w:rPr>
        <w:t>万元（其中折旧值为</w:t>
      </w:r>
      <w:r>
        <w:rPr>
          <w:rFonts w:ascii="仿宋_GB2312" w:hAnsi="仿宋_GB2312" w:cs="仿宋_GB2312"/>
          <w:sz w:val="32"/>
          <w:szCs w:val="32"/>
        </w:rPr>
        <w:t>3,622.24</w:t>
      </w:r>
      <w:r>
        <w:rPr>
          <w:rFonts w:hint="eastAsia" w:ascii="仿宋_GB2312" w:hAnsi="仿宋_GB2312" w:cs="仿宋_GB2312"/>
          <w:sz w:val="32"/>
          <w:szCs w:val="32"/>
        </w:rPr>
        <w:t>万元），资产折旧处置较为规范。从资产与人员配置比来看</w:t>
      </w:r>
      <w:r>
        <w:rPr>
          <w:rFonts w:hint="eastAsia" w:ascii="仿宋_GB2312" w:hAnsi="仿宋_GB2312" w:cs="仿宋_GB2312"/>
          <w:b/>
          <w:bCs/>
          <w:sz w:val="32"/>
          <w:szCs w:val="32"/>
        </w:rPr>
        <w:t>，</w:t>
      </w:r>
      <w:r>
        <w:rPr>
          <w:rFonts w:hint="eastAsia" w:ascii="仿宋_GB2312" w:hAnsi="仿宋_GB2312" w:cs="仿宋_GB2312"/>
          <w:sz w:val="32"/>
          <w:szCs w:val="32"/>
        </w:rPr>
        <w:t>市政务服务局行政编制108人，较上年减少6人；年末实际在职人员104人，比上年减少5人；事业编制81人，年末实际在职人员76人。经抽取台式机、便携式笔记本、打印机、复印机等资产明细，市政务服务局实有人均配置未</w:t>
      </w:r>
      <w:r>
        <w:rPr>
          <w:rFonts w:hint="eastAsia" w:ascii="仿宋_GB2312" w:hAnsi="仿宋_GB2312" w:cs="仿宋_GB2312"/>
          <w:sz w:val="32"/>
          <w:szCs w:val="32"/>
          <w:lang w:eastAsia="zh-CN"/>
        </w:rPr>
        <w:t>超过</w:t>
      </w:r>
      <w:r>
        <w:rPr>
          <w:rFonts w:hint="eastAsia" w:ascii="仿宋_GB2312" w:hAnsi="仿宋_GB2312" w:cs="仿宋_GB2312"/>
          <w:sz w:val="32"/>
          <w:szCs w:val="32"/>
        </w:rPr>
        <w:t>《北京市行政事业单位日常办公设备配置标准（试行）》中的上限数量。</w:t>
      </w:r>
    </w:p>
    <w:p w14:paraId="5DAF938D">
      <w:pPr>
        <w:adjustRightInd w:val="0"/>
        <w:snapToGrid w:val="0"/>
        <w:spacing w:line="560" w:lineRule="exact"/>
        <w:ind w:firstLine="640" w:firstLineChars="200"/>
        <w:outlineLvl w:val="1"/>
        <w:rPr>
          <w:rFonts w:ascii="楷体_GB2312" w:eastAsia="楷体_GB2312"/>
          <w:sz w:val="32"/>
          <w:szCs w:val="32"/>
        </w:rPr>
      </w:pPr>
      <w:bookmarkStart w:id="23" w:name="_Toc27731"/>
      <w:bookmarkStart w:id="24" w:name="_Toc7936"/>
      <w:r>
        <w:rPr>
          <w:rFonts w:hint="eastAsia" w:ascii="楷体_GB2312" w:eastAsia="楷体_GB2312"/>
          <w:sz w:val="32"/>
          <w:szCs w:val="32"/>
        </w:rPr>
        <w:t>（三）绩效</w:t>
      </w:r>
      <w:r>
        <w:rPr>
          <w:rFonts w:ascii="楷体_GB2312" w:eastAsia="楷体_GB2312"/>
          <w:sz w:val="32"/>
          <w:szCs w:val="32"/>
        </w:rPr>
        <w:t>管理</w:t>
      </w:r>
      <w:bookmarkEnd w:id="23"/>
      <w:bookmarkEnd w:id="24"/>
    </w:p>
    <w:p w14:paraId="36FA3DA0">
      <w:pPr>
        <w:adjustRightInd w:val="0"/>
        <w:snapToGrid w:val="0"/>
        <w:spacing w:line="560" w:lineRule="exact"/>
        <w:ind w:firstLine="640" w:firstLineChars="200"/>
        <w:outlineLvl w:val="2"/>
        <w:rPr>
          <w:rFonts w:ascii="仿宋_GB2312" w:eastAsia="仿宋_GB2312"/>
          <w:bCs/>
          <w:sz w:val="32"/>
          <w:szCs w:val="32"/>
        </w:rPr>
      </w:pPr>
      <w:r>
        <w:rPr>
          <w:rFonts w:hint="eastAsia" w:ascii="仿宋_GB2312" w:eastAsia="仿宋_GB2312"/>
          <w:bCs/>
          <w:sz w:val="32"/>
          <w:szCs w:val="32"/>
        </w:rPr>
        <w:t>1.绩效目标审核情况</w:t>
      </w:r>
    </w:p>
    <w:p w14:paraId="556BDDFE">
      <w:pPr>
        <w:adjustRightInd w:val="0"/>
        <w:snapToGrid w:val="0"/>
        <w:spacing w:line="560" w:lineRule="exact"/>
        <w:ind w:firstLine="640" w:firstLineChars="200"/>
        <w:rPr>
          <w:rFonts w:ascii="仿宋_GB2312" w:eastAsia="仿宋_GB2312"/>
          <w:bCs/>
          <w:sz w:val="32"/>
          <w:szCs w:val="32"/>
        </w:rPr>
      </w:pPr>
      <w:bookmarkStart w:id="25" w:name="_Hlk105493459"/>
      <w:r>
        <w:rPr>
          <w:rFonts w:hint="eastAsia" w:ascii="仿宋_GB2312" w:eastAsia="仿宋_GB2312"/>
          <w:bCs/>
          <w:sz w:val="32"/>
          <w:szCs w:val="32"/>
        </w:rPr>
        <w:t>市政务服务局</w:t>
      </w:r>
      <w:r>
        <w:rPr>
          <w:rFonts w:hint="eastAsia" w:ascii="仿宋_GB2312" w:eastAsia="仿宋_GB2312"/>
          <w:bCs/>
          <w:sz w:val="32"/>
          <w:szCs w:val="32"/>
          <w:lang w:val="en-US" w:eastAsia="zh-CN"/>
        </w:rPr>
        <w:t>针对纳入</w:t>
      </w:r>
      <w:r>
        <w:rPr>
          <w:rFonts w:hint="eastAsia" w:ascii="仿宋_GB2312" w:eastAsia="仿宋_GB2312"/>
          <w:bCs/>
          <w:sz w:val="32"/>
          <w:szCs w:val="32"/>
        </w:rPr>
        <w:t>2</w:t>
      </w:r>
      <w:r>
        <w:rPr>
          <w:rFonts w:ascii="仿宋_GB2312" w:eastAsia="仿宋_GB2312"/>
          <w:bCs/>
          <w:sz w:val="32"/>
          <w:szCs w:val="32"/>
        </w:rPr>
        <w:t>02</w:t>
      </w:r>
      <w:r>
        <w:rPr>
          <w:rFonts w:hint="eastAsia" w:ascii="仿宋_GB2312" w:eastAsia="仿宋_GB2312"/>
          <w:bCs/>
          <w:sz w:val="32"/>
          <w:szCs w:val="32"/>
        </w:rPr>
        <w:t>3年</w:t>
      </w:r>
      <w:r>
        <w:rPr>
          <w:rFonts w:hint="eastAsia" w:ascii="仿宋_GB2312" w:eastAsia="仿宋_GB2312"/>
          <w:bCs/>
          <w:sz w:val="32"/>
          <w:szCs w:val="32"/>
          <w:lang w:val="en-US" w:eastAsia="zh-CN"/>
        </w:rPr>
        <w:t>初预算批复的</w:t>
      </w:r>
      <w:r>
        <w:rPr>
          <w:rFonts w:hint="eastAsia" w:ascii="仿宋_GB2312" w:eastAsia="仿宋_GB2312"/>
          <w:bCs/>
          <w:sz w:val="32"/>
          <w:szCs w:val="32"/>
        </w:rPr>
        <w:t>82个项目均设置了绩效目标</w:t>
      </w:r>
      <w:bookmarkEnd w:id="25"/>
      <w:r>
        <w:rPr>
          <w:rFonts w:hint="eastAsia" w:ascii="仿宋_GB2312" w:eastAsia="仿宋_GB2312"/>
          <w:bCs/>
          <w:sz w:val="32"/>
          <w:szCs w:val="32"/>
        </w:rPr>
        <w:t>，并从指向明确、细化量化、合理可行、相应匹配四个维度对绩效目标进行审核，</w:t>
      </w:r>
      <w:bookmarkStart w:id="26" w:name="_Hlk105493495"/>
      <w:r>
        <w:rPr>
          <w:rFonts w:hint="eastAsia" w:ascii="仿宋_GB2312" w:eastAsia="仿宋_GB2312"/>
          <w:bCs/>
          <w:sz w:val="32"/>
          <w:szCs w:val="32"/>
        </w:rPr>
        <w:t>绩效目标审核通过率100%</w:t>
      </w:r>
      <w:bookmarkEnd w:id="26"/>
      <w:r>
        <w:rPr>
          <w:rFonts w:hint="eastAsia" w:ascii="仿宋_GB2312" w:eastAsia="仿宋_GB2312"/>
          <w:bCs/>
          <w:sz w:val="32"/>
          <w:szCs w:val="32"/>
        </w:rPr>
        <w:t>。</w:t>
      </w:r>
    </w:p>
    <w:p w14:paraId="199FD879">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2</w:t>
      </w:r>
      <w:r>
        <w:rPr>
          <w:rFonts w:hint="eastAsia" w:ascii="仿宋_GB2312" w:eastAsia="仿宋_GB2312"/>
          <w:bCs/>
          <w:sz w:val="32"/>
          <w:szCs w:val="32"/>
        </w:rPr>
        <w:t>.绩效跟踪监控情况</w:t>
      </w:r>
    </w:p>
    <w:p w14:paraId="3C4ED1B6">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bCs/>
          <w:sz w:val="32"/>
          <w:szCs w:val="32"/>
        </w:rPr>
        <w:t>根据《北京市财政局关于2023年推进全面实施预算绩效管理工作的通知》</w:t>
      </w:r>
      <w:r>
        <w:rPr>
          <w:rFonts w:hint="eastAsia" w:ascii="仿宋_GB2312" w:eastAsia="仿宋_GB2312"/>
          <w:sz w:val="32"/>
          <w:szCs w:val="32"/>
        </w:rPr>
        <w:t>中关于“绩效目标执行监控工作”的有关要求</w:t>
      </w:r>
      <w:r>
        <w:rPr>
          <w:rFonts w:hint="eastAsia" w:ascii="仿宋_GB2312" w:eastAsia="仿宋_GB2312"/>
          <w:bCs/>
          <w:sz w:val="32"/>
          <w:szCs w:val="32"/>
        </w:rPr>
        <w:t>，</w:t>
      </w:r>
      <w:bookmarkStart w:id="27" w:name="_Hlk105493544"/>
      <w:r>
        <w:rPr>
          <w:rFonts w:hint="eastAsia" w:ascii="仿宋_GB2312" w:eastAsia="仿宋_GB2312"/>
          <w:bCs/>
          <w:sz w:val="32"/>
          <w:szCs w:val="32"/>
        </w:rPr>
        <w:t>2</w:t>
      </w:r>
      <w:r>
        <w:rPr>
          <w:rFonts w:ascii="仿宋_GB2312" w:eastAsia="仿宋_GB2312"/>
          <w:bCs/>
          <w:sz w:val="32"/>
          <w:szCs w:val="32"/>
        </w:rPr>
        <w:t>02</w:t>
      </w:r>
      <w:r>
        <w:rPr>
          <w:rFonts w:hint="eastAsia" w:ascii="仿宋_GB2312" w:eastAsia="仿宋_GB2312"/>
          <w:bCs/>
          <w:sz w:val="32"/>
          <w:szCs w:val="32"/>
        </w:rPr>
        <w:t>3年8月，市政务服务局</w:t>
      </w:r>
      <w:r>
        <w:rPr>
          <w:rFonts w:hint="eastAsia" w:ascii="仿宋_GB2312" w:eastAsia="仿宋_GB2312"/>
          <w:sz w:val="32"/>
          <w:szCs w:val="32"/>
        </w:rPr>
        <w:t>针对当年批复的82个项目、上年结转的5个项目及截至半年监控时点已追加的3个项目、已取消的1个项目共计89个项目进行了半年绩效跟踪监控，绩效监控覆盖率1</w:t>
      </w:r>
      <w:r>
        <w:rPr>
          <w:rFonts w:ascii="仿宋_GB2312" w:eastAsia="仿宋_GB2312"/>
          <w:sz w:val="32"/>
          <w:szCs w:val="32"/>
        </w:rPr>
        <w:t>00</w:t>
      </w:r>
      <w:r>
        <w:rPr>
          <w:rFonts w:hint="eastAsia" w:ascii="仿宋_GB2312" w:eastAsia="仿宋_GB2312"/>
          <w:sz w:val="32"/>
          <w:szCs w:val="32"/>
        </w:rPr>
        <w:t>%</w:t>
      </w:r>
      <w:bookmarkEnd w:id="27"/>
      <w:r>
        <w:rPr>
          <w:rFonts w:hint="eastAsia" w:ascii="仿宋_GB2312" w:eastAsia="仿宋_GB2312"/>
          <w:sz w:val="32"/>
          <w:szCs w:val="32"/>
        </w:rPr>
        <w:t>。绩效跟踪监控工作开展期间，针对截至2</w:t>
      </w:r>
      <w:r>
        <w:rPr>
          <w:rFonts w:ascii="仿宋_GB2312" w:eastAsia="仿宋_GB2312"/>
          <w:sz w:val="32"/>
          <w:szCs w:val="32"/>
        </w:rPr>
        <w:t>02</w:t>
      </w:r>
      <w:r>
        <w:rPr>
          <w:rFonts w:hint="eastAsia" w:ascii="仿宋_GB2312" w:eastAsia="仿宋_GB2312"/>
          <w:sz w:val="32"/>
          <w:szCs w:val="32"/>
        </w:rPr>
        <w:t>3年半年时点资金执行进度存在偏差的13个项目拟定了下半年资金支出计划，针对产出数量存在偏差的6个项目进行了偏差原因分析、并</w:t>
      </w:r>
      <w:r>
        <w:rPr>
          <w:rFonts w:hint="eastAsia" w:ascii="仿宋_GB2312" w:eastAsia="仿宋_GB2312"/>
          <w:sz w:val="32"/>
          <w:szCs w:val="32"/>
          <w:lang w:val="en-US" w:eastAsia="zh-CN"/>
        </w:rPr>
        <w:t>制定</w:t>
      </w:r>
      <w:r>
        <w:rPr>
          <w:rFonts w:hint="eastAsia" w:ascii="仿宋_GB2312" w:eastAsia="仿宋_GB2312"/>
          <w:sz w:val="32"/>
          <w:szCs w:val="32"/>
        </w:rPr>
        <w:t>了相关纠正</w:t>
      </w:r>
      <w:r>
        <w:rPr>
          <w:rFonts w:hint="eastAsia" w:ascii="仿宋_GB2312" w:eastAsia="仿宋_GB2312"/>
          <w:sz w:val="32"/>
          <w:szCs w:val="32"/>
          <w:lang w:val="en-US" w:eastAsia="zh-CN"/>
        </w:rPr>
        <w:t>措施</w:t>
      </w:r>
      <w:r>
        <w:rPr>
          <w:rFonts w:hint="eastAsia" w:ascii="仿宋_GB2312" w:eastAsia="仿宋_GB2312"/>
          <w:sz w:val="32"/>
          <w:szCs w:val="32"/>
          <w:lang w:eastAsia="zh-CN"/>
        </w:rPr>
        <w:t>。</w:t>
      </w:r>
      <w:r>
        <w:rPr>
          <w:rFonts w:hint="eastAsia" w:ascii="仿宋_GB2312" w:eastAsia="仿宋_GB2312"/>
          <w:sz w:val="32"/>
          <w:szCs w:val="32"/>
        </w:rPr>
        <w:t>针对截至2</w:t>
      </w:r>
      <w:r>
        <w:rPr>
          <w:rFonts w:ascii="仿宋_GB2312" w:eastAsia="仿宋_GB2312"/>
          <w:sz w:val="32"/>
          <w:szCs w:val="32"/>
        </w:rPr>
        <w:t>02</w:t>
      </w:r>
      <w:r>
        <w:rPr>
          <w:rFonts w:hint="eastAsia" w:ascii="仿宋_GB2312" w:eastAsia="仿宋_GB2312"/>
          <w:sz w:val="32"/>
          <w:szCs w:val="32"/>
        </w:rPr>
        <w:t>3年半年时点无偏差</w:t>
      </w:r>
      <w:r>
        <w:rPr>
          <w:rFonts w:hint="eastAsia" w:ascii="仿宋_GB2312" w:eastAsia="仿宋_GB2312"/>
          <w:sz w:val="32"/>
          <w:szCs w:val="32"/>
          <w:lang w:eastAsia="zh-CN"/>
        </w:rPr>
        <w:t>，</w:t>
      </w:r>
      <w:r>
        <w:rPr>
          <w:rFonts w:hint="eastAsia" w:ascii="仿宋_GB2312" w:eastAsia="仿宋_GB2312"/>
          <w:sz w:val="32"/>
          <w:szCs w:val="32"/>
        </w:rPr>
        <w:t>但全年执行情况来看</w:t>
      </w:r>
      <w:r>
        <w:rPr>
          <w:rFonts w:hint="eastAsia" w:ascii="仿宋_GB2312" w:eastAsia="仿宋_GB2312"/>
          <w:sz w:val="32"/>
          <w:szCs w:val="32"/>
          <w:lang w:eastAsia="zh-CN"/>
        </w:rPr>
        <w:t>，</w:t>
      </w:r>
      <w:r>
        <w:rPr>
          <w:rFonts w:hint="eastAsia" w:ascii="仿宋_GB2312" w:eastAsia="仿宋_GB2312"/>
          <w:sz w:val="32"/>
          <w:szCs w:val="32"/>
        </w:rPr>
        <w:t>存在潜在偏差的6个项目进行了梳理分析。以纳入监控的89个项目为切入点，“由点及面”进行分析，提出了“研究预算执行进度低的原因，提前启动项目主体工作，加强预算执行进度”“强化处室绩效管理责任，加强部门统筹管理及项目执行”等建议。此外，针对绩效目标及指标有调整的9个项目进行了备案。</w:t>
      </w:r>
    </w:p>
    <w:p w14:paraId="39665F7D">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3</w:t>
      </w:r>
      <w:r>
        <w:rPr>
          <w:rFonts w:hint="eastAsia" w:ascii="仿宋_GB2312" w:eastAsia="仿宋_GB2312"/>
          <w:bCs/>
          <w:sz w:val="32"/>
          <w:szCs w:val="32"/>
        </w:rPr>
        <w:t>.绩效自评覆盖情况</w:t>
      </w:r>
    </w:p>
    <w:p w14:paraId="6F85C8BB">
      <w:pPr>
        <w:adjustRightInd w:val="0"/>
        <w:snapToGrid w:val="0"/>
        <w:spacing w:line="560" w:lineRule="exact"/>
        <w:ind w:firstLine="640" w:firstLineChars="200"/>
        <w:rPr>
          <w:rFonts w:ascii="仿宋_GB2312" w:hAnsi="仿宋_GB2312" w:eastAsia="仿宋_GB2312" w:cs="仿宋_GB2312"/>
          <w:sz w:val="32"/>
          <w:szCs w:val="32"/>
        </w:rPr>
      </w:pPr>
      <w:bookmarkStart w:id="28" w:name="_Hlk135045440"/>
      <w:r>
        <w:rPr>
          <w:rFonts w:hint="eastAsia" w:ascii="仿宋_GB2312" w:eastAsia="仿宋_GB2312"/>
          <w:bCs/>
          <w:sz w:val="32"/>
          <w:szCs w:val="32"/>
        </w:rPr>
        <w:t>依据《北京市财政局关于开展2024年预算绩效管理相关工作的函》等文件要求，对市政务服务局2023年所有填报绩效目标的项目开展了绩效自评及部门整体支出绩效评价。截至自评时点，基于2</w:t>
      </w:r>
      <w:r>
        <w:rPr>
          <w:rFonts w:ascii="仿宋_GB2312" w:eastAsia="仿宋_GB2312"/>
          <w:bCs/>
          <w:sz w:val="32"/>
          <w:szCs w:val="32"/>
        </w:rPr>
        <w:t>02</w:t>
      </w:r>
      <w:r>
        <w:rPr>
          <w:rFonts w:hint="eastAsia" w:ascii="仿宋_GB2312" w:eastAsia="仿宋_GB2312"/>
          <w:bCs/>
          <w:sz w:val="32"/>
          <w:szCs w:val="32"/>
        </w:rPr>
        <w:t>3年决算套表中的数据，</w:t>
      </w:r>
      <w:bookmarkStart w:id="29" w:name="_Hlk105493631"/>
      <w:r>
        <w:rPr>
          <w:rFonts w:hint="eastAsia" w:ascii="仿宋_GB2312" w:eastAsia="仿宋_GB2312"/>
          <w:bCs/>
          <w:sz w:val="32"/>
          <w:szCs w:val="32"/>
        </w:rPr>
        <w:t>2</w:t>
      </w:r>
      <w:r>
        <w:rPr>
          <w:rFonts w:ascii="仿宋_GB2312" w:eastAsia="仿宋_GB2312"/>
          <w:bCs/>
          <w:sz w:val="32"/>
          <w:szCs w:val="32"/>
        </w:rPr>
        <w:t>02</w:t>
      </w:r>
      <w:r>
        <w:rPr>
          <w:rFonts w:hint="eastAsia" w:ascii="仿宋_GB2312" w:eastAsia="仿宋_GB2312"/>
          <w:bCs/>
          <w:sz w:val="32"/>
          <w:szCs w:val="32"/>
        </w:rPr>
        <w:t>3年度申报、纳入绩效自评范围项目共计91个（4个上年结转，76个年初批复</w:t>
      </w:r>
      <w:r>
        <w:rPr>
          <w:rFonts w:hint="eastAsia" w:ascii="仿宋_GB2312" w:eastAsia="仿宋_GB2312"/>
          <w:bCs/>
          <w:sz w:val="32"/>
          <w:szCs w:val="32"/>
          <w:vertAlign w:val="superscript"/>
        </w:rPr>
        <w:footnoteReference w:id="3"/>
      </w:r>
      <w:r>
        <w:rPr>
          <w:rFonts w:hint="eastAsia" w:ascii="仿宋_GB2312" w:eastAsia="仿宋_GB2312"/>
          <w:bCs/>
          <w:sz w:val="32"/>
          <w:szCs w:val="32"/>
        </w:rPr>
        <w:t>，</w:t>
      </w:r>
      <w:r>
        <w:rPr>
          <w:rFonts w:hint="eastAsia" w:ascii="仿宋_GB2312" w:eastAsia="仿宋_GB2312"/>
          <w:bCs/>
          <w:sz w:val="32"/>
          <w:szCs w:val="32"/>
          <w:highlight w:val="none"/>
        </w:rPr>
        <w:t>11个年中追加</w:t>
      </w:r>
      <w:r>
        <w:rPr>
          <w:rStyle w:val="21"/>
          <w:highlight w:val="none"/>
        </w:rPr>
        <w:footnoteReference w:id="4"/>
      </w:r>
      <w:r>
        <w:rPr>
          <w:rFonts w:hint="eastAsia" w:ascii="仿宋_GB2312" w:eastAsia="仿宋_GB2312"/>
          <w:bCs/>
          <w:sz w:val="32"/>
          <w:szCs w:val="32"/>
          <w:highlight w:val="none"/>
        </w:rPr>
        <w:t>），绩效自评覆盖</w:t>
      </w:r>
      <w:r>
        <w:rPr>
          <w:rFonts w:hint="eastAsia" w:ascii="仿宋_GB2312" w:hAnsi="仿宋_GB2312" w:eastAsia="仿宋_GB2312" w:cs="仿宋_GB2312"/>
          <w:sz w:val="32"/>
          <w:szCs w:val="32"/>
          <w:highlight w:val="none"/>
        </w:rPr>
        <w:t>率1</w:t>
      </w:r>
      <w:r>
        <w:rPr>
          <w:rFonts w:ascii="仿宋_GB2312" w:hAnsi="仿宋_GB2312" w:eastAsia="仿宋_GB2312" w:cs="仿宋_GB2312"/>
          <w:sz w:val="32"/>
          <w:szCs w:val="32"/>
          <w:highlight w:val="none"/>
        </w:rPr>
        <w:t>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实际公开自评表项目数量91</w:t>
      </w:r>
      <w:r>
        <w:rPr>
          <w:rFonts w:hint="eastAsia" w:ascii="仿宋_GB2312" w:hAnsi="仿宋_GB2312" w:eastAsia="仿宋_GB2312" w:cs="仿宋_GB2312"/>
          <w:sz w:val="32"/>
          <w:szCs w:val="32"/>
        </w:rPr>
        <w:t>个。</w:t>
      </w:r>
    </w:p>
    <w:bookmarkEnd w:id="28"/>
    <w:bookmarkEnd w:id="29"/>
    <w:p w14:paraId="5FEAEB5A">
      <w:pPr>
        <w:adjustRightInd w:val="0"/>
        <w:snapToGrid w:val="0"/>
        <w:spacing w:line="560" w:lineRule="exact"/>
        <w:ind w:firstLine="640" w:firstLineChars="200"/>
        <w:rPr>
          <w:rFonts w:ascii="仿宋_GB2312" w:hAnsi="仿宋_GB2312" w:eastAsia="仿宋_GB2312" w:cs="仿宋_GB2312"/>
          <w:sz w:val="32"/>
          <w:szCs w:val="32"/>
        </w:rPr>
      </w:pPr>
      <w:bookmarkStart w:id="30" w:name="_Hlk135048434"/>
      <w:r>
        <w:rPr>
          <w:rFonts w:hint="eastAsia" w:ascii="仿宋_GB2312" w:hAnsi="仿宋_GB2312" w:eastAsia="仿宋_GB2312" w:cs="仿宋_GB2312"/>
          <w:sz w:val="32"/>
          <w:szCs w:val="32"/>
          <w:highlight w:val="none"/>
        </w:rPr>
        <w:t>2023年度纳入绩效自评的91个项目中，</w:t>
      </w:r>
      <w:r>
        <w:rPr>
          <w:rFonts w:hint="eastAsia" w:ascii="仿宋_GB2312" w:hAnsi="仿宋_GB2312" w:eastAsia="仿宋_GB2312" w:cs="仿宋_GB2312"/>
          <w:sz w:val="32"/>
          <w:szCs w:val="32"/>
          <w:highlight w:val="none"/>
          <w:lang w:eastAsia="zh-CN"/>
        </w:rPr>
        <w:t>选取</w:t>
      </w:r>
      <w:r>
        <w:rPr>
          <w:rFonts w:hint="eastAsia" w:ascii="仿宋_GB2312" w:hAnsi="仿宋_GB2312" w:eastAsia="仿宋_GB2312" w:cs="仿宋_GB2312"/>
          <w:sz w:val="32"/>
          <w:szCs w:val="32"/>
          <w:highlight w:val="none"/>
        </w:rPr>
        <w:t>财务综合服务项目</w:t>
      </w:r>
      <w:r>
        <w:rPr>
          <w:rFonts w:hint="eastAsia" w:ascii="仿宋_GB2312" w:hAnsi="仿宋_GB2312" w:eastAsia="仿宋_GB2312" w:cs="仿宋_GB2312"/>
          <w:sz w:val="32"/>
          <w:szCs w:val="32"/>
          <w:highlight w:val="none"/>
          <w:lang w:eastAsia="zh-CN"/>
        </w:rPr>
        <w:t>作为重点支出绩效评价项目</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对该项目</w:t>
      </w:r>
      <w:r>
        <w:rPr>
          <w:rFonts w:hint="eastAsia" w:ascii="仿宋_GB2312" w:hAnsi="仿宋_GB2312" w:eastAsia="仿宋_GB2312" w:cs="仿宋_GB2312"/>
          <w:sz w:val="32"/>
          <w:szCs w:val="32"/>
          <w:highlight w:val="none"/>
        </w:rPr>
        <w:t>从决策、过程、产出、效益四个维度进行评价，得分93.90分，评价等级为“优”</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通过评价发现，该项目“作为延续性项目，项目管理过程中缺乏对管理经验的提炼与归纳，项目验收成果材料可进一步完善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项目效益数据的提炼归集工作有待进一步加强”。</w:t>
      </w:r>
    </w:p>
    <w:bookmarkEnd w:id="30"/>
    <w:p w14:paraId="1C4936C3">
      <w:pPr>
        <w:adjustRightInd w:val="0"/>
        <w:snapToGrid w:val="0"/>
        <w:spacing w:line="560" w:lineRule="exact"/>
        <w:ind w:firstLine="640" w:firstLineChars="200"/>
        <w:rPr>
          <w:rFonts w:ascii="仿宋_GB2312" w:eastAsia="仿宋_GB2312"/>
          <w:b/>
          <w:bCs/>
          <w:sz w:val="32"/>
          <w:szCs w:val="32"/>
          <w:highlight w:val="none"/>
        </w:rPr>
      </w:pPr>
      <w:bookmarkStart w:id="31" w:name="_Hlk135045755"/>
      <w:r>
        <w:rPr>
          <w:rFonts w:hint="eastAsia" w:ascii="仿宋_GB2312" w:hAnsi="仿宋_GB2312" w:eastAsia="仿宋_GB2312" w:cs="仿宋_GB2312"/>
          <w:sz w:val="32"/>
          <w:szCs w:val="32"/>
          <w:highlight w:val="none"/>
        </w:rPr>
        <w:t>针对</w:t>
      </w:r>
      <w:r>
        <w:rPr>
          <w:rFonts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rPr>
        <w:t>3年度纳入绩效自评的</w:t>
      </w:r>
      <w:r>
        <w:rPr>
          <w:rFonts w:ascii="仿宋_GB2312" w:hAnsi="仿宋_GB2312" w:eastAsia="仿宋_GB2312" w:cs="仿宋_GB2312"/>
          <w:sz w:val="32"/>
          <w:szCs w:val="32"/>
          <w:highlight w:val="none"/>
        </w:rPr>
        <w:t>9</w:t>
      </w:r>
      <w:r>
        <w:rPr>
          <w:rFonts w:hint="eastAsia" w:ascii="仿宋_GB2312" w:hAnsi="仿宋_GB2312" w:eastAsia="仿宋_GB2312" w:cs="仿宋_GB2312"/>
          <w:sz w:val="32"/>
          <w:szCs w:val="32"/>
          <w:highlight w:val="none"/>
        </w:rPr>
        <w:t>1个项目，从预算执行率、产出及效益指标的实现情况进行单位自评打分，</w:t>
      </w:r>
      <w:bookmarkStart w:id="32" w:name="_Hlk105493670"/>
      <w:r>
        <w:rPr>
          <w:rFonts w:hint="eastAsia" w:ascii="仿宋_GB2312" w:hAnsi="仿宋_GB2312" w:eastAsia="仿宋_GB2312" w:cs="仿宋_GB2312"/>
          <w:sz w:val="32"/>
          <w:szCs w:val="32"/>
          <w:highlight w:val="none"/>
        </w:rPr>
        <w:t>平均得分</w:t>
      </w:r>
      <w:r>
        <w:rPr>
          <w:rFonts w:hint="eastAsia" w:ascii="仿宋_GB2312" w:hAnsi="仿宋_GB2312" w:eastAsia="仿宋_GB2312" w:cs="仿宋_GB2312"/>
          <w:sz w:val="32"/>
          <w:szCs w:val="32"/>
          <w:highlight w:val="none"/>
          <w:lang w:val="en-US" w:eastAsia="zh-CN"/>
        </w:rPr>
        <w:t>93.73</w:t>
      </w:r>
      <w:r>
        <w:rPr>
          <w:rFonts w:hint="eastAsia" w:ascii="仿宋_GB2312" w:hAnsi="仿宋_GB2312" w:eastAsia="仿宋_GB2312" w:cs="仿宋_GB2312"/>
          <w:sz w:val="32"/>
          <w:szCs w:val="32"/>
          <w:highlight w:val="none"/>
        </w:rPr>
        <w:t>分</w:t>
      </w:r>
      <w:bookmarkEnd w:id="32"/>
      <w:r>
        <w:rPr>
          <w:rFonts w:hint="eastAsia" w:ascii="仿宋_GB2312" w:hAnsi="仿宋_GB2312" w:eastAsia="仿宋_GB2312" w:cs="仿宋_GB2312"/>
          <w:sz w:val="32"/>
          <w:szCs w:val="32"/>
          <w:highlight w:val="none"/>
        </w:rPr>
        <w:t>，较2</w:t>
      </w:r>
      <w:r>
        <w:rPr>
          <w:rFonts w:ascii="仿宋_GB2312" w:hAnsi="仿宋_GB2312" w:eastAsia="仿宋_GB2312" w:cs="仿宋_GB2312"/>
          <w:sz w:val="32"/>
          <w:szCs w:val="32"/>
          <w:highlight w:val="none"/>
        </w:rPr>
        <w:t>02</w:t>
      </w:r>
      <w:r>
        <w:rPr>
          <w:rFonts w:hint="eastAsia" w:ascii="仿宋_GB2312" w:hAnsi="仿宋_GB2312" w:eastAsia="仿宋_GB2312" w:cs="仿宋_GB2312"/>
          <w:sz w:val="32"/>
          <w:szCs w:val="32"/>
          <w:highlight w:val="none"/>
        </w:rPr>
        <w:t>2年度绩效自评平均得分（9</w:t>
      </w:r>
      <w:r>
        <w:rPr>
          <w:rFonts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rPr>
        <w:t>85分）</w:t>
      </w:r>
      <w:r>
        <w:rPr>
          <w:rFonts w:hint="eastAsia" w:ascii="仿宋_GB2312" w:hAnsi="仿宋_GB2312" w:eastAsia="仿宋_GB2312" w:cs="仿宋_GB2312"/>
          <w:sz w:val="32"/>
          <w:szCs w:val="32"/>
          <w:highlight w:val="none"/>
          <w:lang w:val="en-US" w:eastAsia="zh-CN"/>
        </w:rPr>
        <w:t>基本持平</w:t>
      </w:r>
      <w:r>
        <w:rPr>
          <w:rFonts w:hint="eastAsia" w:ascii="仿宋_GB2312" w:hAnsi="仿宋_GB2312" w:eastAsia="仿宋_GB2312" w:cs="仿宋_GB2312"/>
          <w:sz w:val="32"/>
          <w:szCs w:val="32"/>
          <w:highlight w:val="none"/>
        </w:rPr>
        <w:t>。针对执行有偏差的原因进行了分析，并相应提出了下一步改进措施。</w:t>
      </w:r>
    </w:p>
    <w:bookmarkEnd w:id="31"/>
    <w:p w14:paraId="1247310A">
      <w:pPr>
        <w:adjustRightInd w:val="0"/>
        <w:snapToGrid w:val="0"/>
        <w:spacing w:line="560" w:lineRule="exact"/>
        <w:ind w:firstLine="640" w:firstLineChars="200"/>
        <w:outlineLvl w:val="2"/>
        <w:rPr>
          <w:rFonts w:ascii="仿宋_GB2312" w:eastAsia="仿宋_GB2312"/>
          <w:bCs/>
          <w:sz w:val="32"/>
          <w:szCs w:val="32"/>
        </w:rPr>
      </w:pPr>
      <w:r>
        <w:rPr>
          <w:rFonts w:ascii="仿宋_GB2312" w:eastAsia="仿宋_GB2312"/>
          <w:bCs/>
          <w:sz w:val="32"/>
          <w:szCs w:val="32"/>
        </w:rPr>
        <w:t>4</w:t>
      </w:r>
      <w:r>
        <w:rPr>
          <w:rFonts w:hint="eastAsia" w:ascii="仿宋_GB2312" w:eastAsia="仿宋_GB2312"/>
          <w:bCs/>
          <w:sz w:val="32"/>
          <w:szCs w:val="32"/>
        </w:rPr>
        <w:t>.成本预算绩效情况</w:t>
      </w:r>
    </w:p>
    <w:p w14:paraId="3E69C7FE">
      <w:pPr>
        <w:autoSpaceDE/>
        <w:autoSpaceDN/>
        <w:adjustRightInd w:val="0"/>
        <w:snapToGrid w:val="0"/>
        <w:spacing w:line="560" w:lineRule="exact"/>
        <w:ind w:firstLine="640" w:firstLineChars="200"/>
        <w:rPr>
          <w:rFonts w:ascii="仿宋_GB2312" w:hAnsi="宋体" w:eastAsia="仿宋_GB2312" w:cs="宋体"/>
          <w:kern w:val="0"/>
          <w:sz w:val="32"/>
          <w:szCs w:val="32"/>
        </w:rPr>
      </w:pPr>
      <w:r>
        <w:rPr>
          <w:rFonts w:hint="eastAsia" w:ascii="仿宋_GB2312" w:eastAsia="仿宋_GB2312"/>
          <w:bCs/>
          <w:sz w:val="32"/>
          <w:szCs w:val="32"/>
        </w:rPr>
        <w:t>根据《北京市财政局关于2023年推进全面实施预算绩效管理工作的通知》</w:t>
      </w:r>
      <w:r>
        <w:rPr>
          <w:rFonts w:hint="eastAsia" w:ascii="仿宋_GB2312" w:eastAsia="仿宋_GB2312"/>
          <w:sz w:val="32"/>
          <w:szCs w:val="32"/>
        </w:rPr>
        <w:t>中“继续开展成本预算绩效分析工作”</w:t>
      </w:r>
      <w:r>
        <w:rPr>
          <w:rFonts w:hint="eastAsia" w:ascii="仿宋_GB2312" w:eastAsia="仿宋_GB2312"/>
          <w:bCs/>
          <w:sz w:val="32"/>
          <w:szCs w:val="32"/>
        </w:rPr>
        <w:t>的要求，</w:t>
      </w:r>
      <w:bookmarkStart w:id="33" w:name="_Hlk105493712"/>
      <w:r>
        <w:rPr>
          <w:rFonts w:ascii="仿宋_GB2312" w:eastAsia="仿宋_GB2312"/>
          <w:bCs/>
          <w:sz w:val="32"/>
          <w:szCs w:val="32"/>
        </w:rPr>
        <w:t>202</w:t>
      </w:r>
      <w:r>
        <w:rPr>
          <w:rFonts w:hint="eastAsia" w:ascii="仿宋_GB2312" w:eastAsia="仿宋_GB2312"/>
          <w:bCs/>
          <w:sz w:val="32"/>
          <w:szCs w:val="32"/>
        </w:rPr>
        <w:t>3年度市政务服务局对网厅中心政务服务信息系统运维服务项目开展了成本预算绩效分析</w:t>
      </w:r>
      <w:bookmarkEnd w:id="33"/>
      <w:r>
        <w:rPr>
          <w:rFonts w:hint="eastAsia" w:ascii="仿宋_GB2312" w:eastAsia="仿宋_GB2312"/>
          <w:bCs/>
          <w:sz w:val="32"/>
          <w:szCs w:val="32"/>
        </w:rPr>
        <w:t>，收集资料总量达上千份，并</w:t>
      </w:r>
      <w:r>
        <w:rPr>
          <w:rFonts w:hint="eastAsia" w:ascii="仿宋_GB2312" w:hAnsi="仿宋_GB2312" w:eastAsia="仿宋_GB2312" w:cs="仿宋_GB2312"/>
          <w:sz w:val="32"/>
          <w:szCs w:val="32"/>
        </w:rPr>
        <w:t>通过到网厅中心实地调研，进一步摸清了运维工作</w:t>
      </w:r>
      <w:r>
        <w:rPr>
          <w:rFonts w:hint="eastAsia" w:ascii="仿宋_GB2312" w:hAnsi="仿宋_GB2312" w:eastAsia="仿宋_GB2312" w:cs="仿宋_GB2312"/>
          <w:sz w:val="32"/>
          <w:szCs w:val="32"/>
          <w:lang w:eastAsia="zh-CN"/>
        </w:rPr>
        <w:t>推行</w:t>
      </w:r>
      <w:r>
        <w:rPr>
          <w:rFonts w:hint="eastAsia" w:ascii="仿宋_GB2312" w:hAnsi="仿宋_GB2312" w:eastAsia="仿宋_GB2312" w:cs="仿宋_GB2312"/>
          <w:sz w:val="32"/>
          <w:szCs w:val="32"/>
        </w:rPr>
        <w:t>机制，针对资料及信息采集情况进一步查漏补缺。在资料梳理分析、邀请专家函评及与项目单位的结论座谈会的基础上，形成了《政务服务信息系统运维服务项目成本预算绩效分析报告》《支出定额标准表》《支出定额标准表》。此次成本绩效分析工作将项目成本分为日常工作和专项工作两方面，由项目单位结合当年实际需求调整专项工作成本，形成了项目成本的动态调整机制，可在全市范围内形成示范。</w:t>
      </w:r>
      <w:r>
        <w:rPr>
          <w:rFonts w:hint="eastAsia" w:ascii="仿宋_GB2312" w:eastAsia="仿宋_GB2312" w:hAnsiTheme="minorHAnsi" w:cstheme="minorBidi"/>
          <w:sz w:val="32"/>
        </w:rPr>
        <w:t>在肯定此项目工作成效的同时，从整体布局及长期发展方面提出了前瞻性、可操作性建议，如，</w:t>
      </w:r>
      <w:r>
        <w:rPr>
          <w:rFonts w:hint="eastAsia" w:ascii="仿宋_GB2312" w:hAnsi="宋体" w:eastAsia="仿宋_GB2312" w:cs="宋体"/>
          <w:kern w:val="0"/>
          <w:sz w:val="32"/>
          <w:szCs w:val="32"/>
        </w:rPr>
        <w:t>明确运维边界，强化信息系统由建设转入运维的过程规范性；加强成本管控，制定较为规范的支出定额标准；进一步发挥项目单位主体责任，提升项目精细化管理水平；明确产出成效考核路径，注重绩效成果的展现、提炼及满意度调查实施工作。该项工作形成的40余项定额标准已应用于2024年度预算编报的过程中。</w:t>
      </w:r>
    </w:p>
    <w:p w14:paraId="0716FF29">
      <w:pPr>
        <w:adjustRightInd w:val="0"/>
        <w:snapToGrid w:val="0"/>
        <w:spacing w:line="560" w:lineRule="exact"/>
        <w:ind w:firstLine="640" w:firstLineChars="200"/>
        <w:outlineLvl w:val="1"/>
        <w:rPr>
          <w:rFonts w:ascii="楷体_GB2312" w:eastAsia="楷体_GB2312"/>
          <w:sz w:val="32"/>
          <w:szCs w:val="32"/>
        </w:rPr>
      </w:pPr>
      <w:bookmarkStart w:id="34" w:name="_Toc21879"/>
      <w:bookmarkStart w:id="35" w:name="_Toc3263"/>
      <w:r>
        <w:rPr>
          <w:rFonts w:hint="eastAsia" w:ascii="楷体_GB2312" w:eastAsia="楷体_GB2312"/>
          <w:sz w:val="32"/>
          <w:szCs w:val="32"/>
        </w:rPr>
        <w:t>（四）结转结余率</w:t>
      </w:r>
      <w:bookmarkEnd w:id="34"/>
      <w:bookmarkEnd w:id="35"/>
    </w:p>
    <w:p w14:paraId="5702760D">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2023年年末结转结余总额为</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746.63</w:t>
      </w:r>
      <w:r>
        <w:rPr>
          <w:rFonts w:hint="eastAsia" w:ascii="仿宋_GB2312" w:eastAsia="仿宋_GB2312"/>
          <w:sz w:val="32"/>
          <w:szCs w:val="32"/>
        </w:rPr>
        <w:t>万元（其中，市政务服务局本级</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533.39</w:t>
      </w:r>
      <w:r>
        <w:rPr>
          <w:rFonts w:hint="eastAsia" w:ascii="仿宋_GB2312" w:eastAsia="仿宋_GB2312"/>
          <w:sz w:val="32"/>
          <w:szCs w:val="32"/>
        </w:rPr>
        <w:t>万元，热线中心</w:t>
      </w:r>
      <w:r>
        <w:rPr>
          <w:rFonts w:ascii="仿宋_GB2312" w:eastAsia="仿宋_GB2312"/>
          <w:sz w:val="32"/>
          <w:szCs w:val="32"/>
        </w:rPr>
        <w:t>163.39</w:t>
      </w:r>
      <w:r>
        <w:rPr>
          <w:rFonts w:hint="eastAsia" w:ascii="仿宋_GB2312" w:eastAsia="仿宋_GB2312"/>
          <w:sz w:val="32"/>
          <w:szCs w:val="32"/>
        </w:rPr>
        <w:t>万元，网厅中心</w:t>
      </w:r>
      <w:r>
        <w:rPr>
          <w:rFonts w:ascii="仿宋_GB2312" w:eastAsia="仿宋_GB2312"/>
          <w:sz w:val="32"/>
          <w:szCs w:val="32"/>
        </w:rPr>
        <w:t>49.85</w:t>
      </w:r>
      <w:r>
        <w:rPr>
          <w:rFonts w:hint="eastAsia" w:ascii="仿宋_GB2312" w:eastAsia="仿宋_GB2312"/>
          <w:sz w:val="32"/>
          <w:szCs w:val="32"/>
        </w:rPr>
        <w:t>万元），占年初预算数总额（</w:t>
      </w:r>
      <w:r>
        <w:rPr>
          <w:rFonts w:ascii="仿宋_GB2312" w:eastAsia="仿宋_GB2312"/>
          <w:sz w:val="32"/>
          <w:szCs w:val="32"/>
        </w:rPr>
        <w:t>41,087.81</w:t>
      </w:r>
      <w:r>
        <w:rPr>
          <w:rFonts w:hint="eastAsia" w:ascii="仿宋_GB2312" w:eastAsia="仿宋_GB2312"/>
          <w:sz w:val="32"/>
          <w:szCs w:val="32"/>
        </w:rPr>
        <w:t>万元）的4.25%。2022年年末结转结余总额为</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128.43</w:t>
      </w:r>
      <w:r>
        <w:rPr>
          <w:rFonts w:hint="eastAsia" w:ascii="仿宋_GB2312" w:eastAsia="仿宋_GB2312"/>
          <w:sz w:val="32"/>
          <w:szCs w:val="32"/>
        </w:rPr>
        <w:t>万元，占年初预算数总额（</w:t>
      </w:r>
      <w:r>
        <w:rPr>
          <w:rFonts w:ascii="仿宋_GB2312" w:eastAsia="仿宋_GB2312"/>
          <w:sz w:val="32"/>
          <w:szCs w:val="32"/>
        </w:rPr>
        <w:t>42</w:t>
      </w:r>
      <w:r>
        <w:rPr>
          <w:rFonts w:hint="eastAsia" w:ascii="仿宋_GB2312" w:eastAsia="仿宋_GB2312"/>
          <w:sz w:val="32"/>
          <w:szCs w:val="32"/>
        </w:rPr>
        <w:t>,</w:t>
      </w:r>
      <w:r>
        <w:rPr>
          <w:rFonts w:ascii="仿宋_GB2312" w:eastAsia="仿宋_GB2312"/>
          <w:sz w:val="32"/>
          <w:szCs w:val="32"/>
        </w:rPr>
        <w:t>140.26</w:t>
      </w:r>
      <w:r>
        <w:rPr>
          <w:rFonts w:hint="eastAsia" w:ascii="仿宋_GB2312" w:eastAsia="仿宋_GB2312"/>
          <w:sz w:val="32"/>
          <w:szCs w:val="32"/>
        </w:rPr>
        <w:t>万元）的2.</w:t>
      </w:r>
      <w:r>
        <w:rPr>
          <w:rFonts w:ascii="仿宋_GB2312" w:eastAsia="仿宋_GB2312"/>
          <w:sz w:val="32"/>
          <w:szCs w:val="32"/>
        </w:rPr>
        <w:t>6</w:t>
      </w:r>
      <w:r>
        <w:rPr>
          <w:rFonts w:hint="eastAsia" w:ascii="仿宋_GB2312" w:eastAsia="仿宋_GB2312"/>
          <w:sz w:val="32"/>
          <w:szCs w:val="32"/>
        </w:rPr>
        <w:t>8</w:t>
      </w:r>
      <w:r>
        <w:rPr>
          <w:rFonts w:ascii="仿宋_GB2312" w:eastAsia="仿宋_GB2312"/>
          <w:sz w:val="32"/>
          <w:szCs w:val="32"/>
        </w:rPr>
        <w:t>%</w:t>
      </w:r>
      <w:r>
        <w:rPr>
          <w:rFonts w:hint="eastAsia" w:ascii="仿宋_GB2312" w:eastAsia="仿宋_GB2312"/>
          <w:sz w:val="32"/>
          <w:szCs w:val="32"/>
        </w:rPr>
        <w:t>。2</w:t>
      </w:r>
      <w:r>
        <w:rPr>
          <w:rFonts w:ascii="仿宋_GB2312" w:eastAsia="仿宋_GB2312"/>
          <w:sz w:val="32"/>
          <w:szCs w:val="32"/>
        </w:rPr>
        <w:t>02</w:t>
      </w:r>
      <w:r>
        <w:rPr>
          <w:rFonts w:hint="eastAsia" w:ascii="仿宋_GB2312" w:eastAsia="仿宋_GB2312"/>
          <w:sz w:val="32"/>
          <w:szCs w:val="32"/>
        </w:rPr>
        <w:t>3年度部门结转结余率较上年高1.57个百分点，项目预算、执行及结转结余</w:t>
      </w:r>
      <w:bookmarkStart w:id="36" w:name="OLE_LINK1"/>
      <w:r>
        <w:rPr>
          <w:rFonts w:hint="eastAsia" w:ascii="仿宋_GB2312" w:eastAsia="仿宋_GB2312"/>
          <w:sz w:val="32"/>
          <w:szCs w:val="32"/>
        </w:rPr>
        <w:t>资金控制情况</w:t>
      </w:r>
      <w:bookmarkEnd w:id="36"/>
      <w:r>
        <w:rPr>
          <w:rFonts w:hint="eastAsia" w:ascii="仿宋_GB2312" w:eastAsia="仿宋_GB2312"/>
          <w:sz w:val="32"/>
          <w:szCs w:val="32"/>
        </w:rPr>
        <w:t>较上一年度略有下降，但资金总体控制情况较好。</w:t>
      </w:r>
    </w:p>
    <w:p w14:paraId="0156575F">
      <w:pPr>
        <w:adjustRightInd w:val="0"/>
        <w:snapToGrid w:val="0"/>
        <w:spacing w:line="560" w:lineRule="exact"/>
        <w:ind w:firstLine="640" w:firstLineChars="200"/>
        <w:outlineLvl w:val="1"/>
        <w:rPr>
          <w:rFonts w:ascii="楷体_GB2312" w:eastAsia="楷体_GB2312"/>
          <w:sz w:val="32"/>
          <w:szCs w:val="32"/>
        </w:rPr>
      </w:pPr>
      <w:bookmarkStart w:id="37" w:name="_Toc19873"/>
      <w:bookmarkStart w:id="38" w:name="_Toc23795"/>
      <w:r>
        <w:rPr>
          <w:rFonts w:hint="eastAsia" w:ascii="楷体_GB2312" w:eastAsia="楷体_GB2312"/>
          <w:sz w:val="32"/>
          <w:szCs w:val="32"/>
        </w:rPr>
        <w:t>（五）部门</w:t>
      </w:r>
      <w:r>
        <w:rPr>
          <w:rFonts w:ascii="楷体_GB2312" w:eastAsia="楷体_GB2312"/>
          <w:sz w:val="32"/>
          <w:szCs w:val="32"/>
        </w:rPr>
        <w:t>预决算差异率</w:t>
      </w:r>
      <w:bookmarkEnd w:id="37"/>
      <w:bookmarkEnd w:id="38"/>
    </w:p>
    <w:p w14:paraId="3532A777">
      <w:pPr>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2023年市政务服务局</w:t>
      </w:r>
      <w:r>
        <w:rPr>
          <w:rFonts w:ascii="仿宋_GB2312" w:eastAsia="仿宋_GB2312"/>
          <w:sz w:val="32"/>
          <w:szCs w:val="32"/>
        </w:rPr>
        <w:t>全年</w:t>
      </w:r>
      <w:r>
        <w:rPr>
          <w:rFonts w:hint="eastAsia" w:ascii="仿宋_GB2312" w:eastAsia="仿宋_GB2312"/>
          <w:sz w:val="32"/>
          <w:szCs w:val="32"/>
        </w:rPr>
        <w:t>支出决算数为</w:t>
      </w:r>
      <w:r>
        <w:rPr>
          <w:rFonts w:ascii="仿宋_GB2312" w:eastAsia="仿宋_GB2312"/>
          <w:sz w:val="32"/>
          <w:szCs w:val="32"/>
        </w:rPr>
        <w:t>51,797.93</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年初部门预算数为</w:t>
      </w:r>
      <w:r>
        <w:rPr>
          <w:rFonts w:ascii="仿宋_GB2312" w:eastAsia="仿宋_GB2312"/>
          <w:sz w:val="32"/>
          <w:szCs w:val="32"/>
        </w:rPr>
        <w:t>41,087.81</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部门预决算差异率为</w:t>
      </w:r>
      <w:r>
        <w:rPr>
          <w:rFonts w:ascii="仿宋_GB2312" w:eastAsia="仿宋_GB2312"/>
          <w:sz w:val="32"/>
          <w:szCs w:val="32"/>
        </w:rPr>
        <w:t>2</w:t>
      </w:r>
      <w:r>
        <w:rPr>
          <w:rFonts w:hint="eastAsia" w:ascii="仿宋_GB2312" w:eastAsia="仿宋_GB2312"/>
          <w:sz w:val="32"/>
          <w:szCs w:val="32"/>
        </w:rPr>
        <w:t>6.07</w:t>
      </w:r>
      <w:r>
        <w:rPr>
          <w:rFonts w:ascii="仿宋_GB2312" w:eastAsia="仿宋_GB2312"/>
          <w:sz w:val="32"/>
          <w:szCs w:val="32"/>
        </w:rPr>
        <w:t>%</w:t>
      </w:r>
      <w:r>
        <w:rPr>
          <w:rFonts w:hint="eastAsia" w:ascii="仿宋_GB2312" w:eastAsia="仿宋_GB2312"/>
          <w:sz w:val="32"/>
          <w:szCs w:val="32"/>
        </w:rPr>
        <w:t>，与上年度相比，上涨了6.86个百分点，部门整体预算约束情况有待提升。</w:t>
      </w:r>
    </w:p>
    <w:p w14:paraId="01FE2CE7">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0"/>
        <w:rPr>
          <w:rFonts w:hint="eastAsia" w:ascii="黑体" w:hAnsi="宋体" w:eastAsia="黑体" w:cs="宋体"/>
          <w:kern w:val="0"/>
          <w:sz w:val="32"/>
          <w:szCs w:val="32"/>
          <w:lang w:val="en-US"/>
        </w:rPr>
      </w:pPr>
      <w:bookmarkStart w:id="39" w:name="_Toc31566"/>
      <w:bookmarkStart w:id="40" w:name="_Toc1201"/>
      <w:r>
        <w:rPr>
          <w:rFonts w:hint="eastAsia" w:ascii="黑体" w:hAnsi="宋体" w:eastAsia="黑体" w:cs="宋体"/>
          <w:kern w:val="0"/>
          <w:sz w:val="32"/>
          <w:szCs w:val="32"/>
          <w:lang w:val="en-US" w:eastAsia="zh-CN" w:bidi="ar"/>
        </w:rPr>
        <w:t>五、总体评价结论</w:t>
      </w:r>
      <w:bookmarkEnd w:id="39"/>
      <w:bookmarkEnd w:id="40"/>
    </w:p>
    <w:p w14:paraId="21CCD479">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1"/>
        <w:rPr>
          <w:rFonts w:hint="eastAsia" w:ascii="楷体_GB2312" w:eastAsia="楷体_GB2312" w:cs="楷体_GB2312"/>
          <w:sz w:val="32"/>
          <w:szCs w:val="32"/>
          <w:lang w:val="en-US"/>
        </w:rPr>
      </w:pPr>
      <w:bookmarkStart w:id="41" w:name="_Toc22100"/>
      <w:bookmarkStart w:id="42" w:name="_Toc23802"/>
      <w:r>
        <w:rPr>
          <w:rFonts w:hint="eastAsia" w:ascii="楷体_GB2312" w:hAnsi="Times New Roman" w:eastAsia="楷体_GB2312" w:cs="楷体_GB2312"/>
          <w:kern w:val="2"/>
          <w:sz w:val="32"/>
          <w:szCs w:val="32"/>
          <w:lang w:val="en-US" w:eastAsia="zh-CN" w:bidi="ar"/>
        </w:rPr>
        <w:t>（一）评价得分情况</w:t>
      </w:r>
      <w:bookmarkEnd w:id="41"/>
      <w:bookmarkEnd w:id="42"/>
    </w:p>
    <w:p w14:paraId="6645794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202</w:t>
      </w:r>
      <w:r>
        <w:rPr>
          <w:rFonts w:hint="eastAsia" w:ascii="仿宋_GB2312" w:eastAsia="仿宋_GB2312" w:cs="仿宋_GB2312"/>
          <w:kern w:val="2"/>
          <w:sz w:val="32"/>
          <w:szCs w:val="32"/>
          <w:lang w:val="en-US" w:eastAsia="zh-CN" w:bidi="ar"/>
        </w:rPr>
        <w:t>3</w:t>
      </w:r>
      <w:r>
        <w:rPr>
          <w:rFonts w:hint="eastAsia" w:ascii="仿宋_GB2312" w:hAnsi="Times New Roman" w:eastAsia="仿宋_GB2312" w:cs="仿宋_GB2312"/>
          <w:kern w:val="2"/>
          <w:sz w:val="32"/>
          <w:szCs w:val="32"/>
          <w:lang w:val="en-US" w:eastAsia="zh-CN" w:bidi="ar"/>
        </w:rPr>
        <w:t>年度，市政务服务局部门整体支出综合绩效评价等级为“优”，评价得分92.</w:t>
      </w:r>
      <w:r>
        <w:rPr>
          <w:rFonts w:hint="eastAsia" w:ascii="仿宋_GB2312" w:eastAsia="仿宋_GB2312" w:cs="仿宋_GB2312"/>
          <w:kern w:val="2"/>
          <w:sz w:val="32"/>
          <w:szCs w:val="32"/>
          <w:lang w:val="en-US" w:eastAsia="zh-CN" w:bidi="ar"/>
        </w:rPr>
        <w:t>99</w:t>
      </w:r>
      <w:r>
        <w:rPr>
          <w:rFonts w:hint="eastAsia" w:ascii="仿宋_GB2312" w:hAnsi="Times New Roman" w:eastAsia="仿宋_GB2312" w:cs="仿宋_GB2312"/>
          <w:kern w:val="2"/>
          <w:sz w:val="32"/>
          <w:szCs w:val="32"/>
          <w:lang w:val="en-US" w:eastAsia="zh-CN" w:bidi="ar"/>
        </w:rPr>
        <w:t>分，得分率92.</w:t>
      </w:r>
      <w:r>
        <w:rPr>
          <w:rFonts w:hint="eastAsia" w:ascii="仿宋_GB2312" w:eastAsia="仿宋_GB2312" w:cs="仿宋_GB2312"/>
          <w:kern w:val="2"/>
          <w:sz w:val="32"/>
          <w:szCs w:val="32"/>
          <w:lang w:val="en-US" w:eastAsia="zh-CN" w:bidi="ar"/>
        </w:rPr>
        <w:t>99</w:t>
      </w:r>
      <w:r>
        <w:rPr>
          <w:rFonts w:hint="eastAsia" w:ascii="仿宋_GB2312" w:hAnsi="Times New Roman" w:eastAsia="仿宋_GB2312" w:cs="仿宋_GB2312"/>
          <w:kern w:val="2"/>
          <w:sz w:val="32"/>
          <w:szCs w:val="32"/>
          <w:lang w:val="en-US" w:eastAsia="zh-CN" w:bidi="ar"/>
        </w:rPr>
        <w:t>%（见表9）。</w:t>
      </w:r>
    </w:p>
    <w:p w14:paraId="0F89E06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60" w:lineRule="exact"/>
        <w:ind w:left="0" w:right="0" w:firstLine="560" w:firstLineChars="200"/>
        <w:jc w:val="center"/>
        <w:textAlignment w:val="auto"/>
        <w:rPr>
          <w:rFonts w:hint="eastAsia" w:ascii="黑体" w:hAnsi="宋体" w:eastAsia="黑体" w:cs="黑体"/>
          <w:sz w:val="24"/>
          <w:szCs w:val="32"/>
          <w:highlight w:val="none"/>
          <w:lang w:val="en-US"/>
        </w:rPr>
      </w:pPr>
      <w:r>
        <w:rPr>
          <w:rFonts w:hint="eastAsia" w:ascii="黑体" w:hAnsi="宋体" w:eastAsia="黑体" w:cs="黑体"/>
          <w:kern w:val="2"/>
          <w:sz w:val="28"/>
          <w:szCs w:val="28"/>
          <w:highlight w:val="none"/>
          <w:lang w:val="en-US" w:eastAsia="zh-CN" w:bidi="ar"/>
        </w:rPr>
        <w:t>表9：综合评价得分情况表</w:t>
      </w:r>
    </w:p>
    <w:tbl>
      <w:tblPr>
        <w:tblStyle w:val="15"/>
        <w:tblW w:w="51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28" w:type="dxa"/>
          <w:bottom w:w="0" w:type="dxa"/>
          <w:right w:w="28" w:type="dxa"/>
        </w:tblCellMar>
      </w:tblPr>
      <w:tblGrid>
        <w:gridCol w:w="1050"/>
        <w:gridCol w:w="1220"/>
        <w:gridCol w:w="3582"/>
        <w:gridCol w:w="721"/>
        <w:gridCol w:w="1266"/>
        <w:gridCol w:w="1371"/>
      </w:tblGrid>
      <w:tr w14:paraId="2623F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28" w:type="dxa"/>
            <w:bottom w:w="0" w:type="dxa"/>
            <w:right w:w="28" w:type="dxa"/>
          </w:tblCellMar>
        </w:tblPrEx>
        <w:trPr>
          <w:cantSplit/>
          <w:trHeight w:val="454" w:hRule="atLeast"/>
          <w:tblHeader/>
          <w:jc w:val="center"/>
        </w:trPr>
        <w:tc>
          <w:tcPr>
            <w:tcW w:w="570" w:type="pct"/>
            <w:tcBorders>
              <w:top w:val="single" w:color="auto" w:sz="4" w:space="0"/>
              <w:left w:val="single" w:color="auto" w:sz="4" w:space="0"/>
              <w:bottom w:val="single" w:color="auto" w:sz="4" w:space="0"/>
              <w:right w:val="single" w:color="auto" w:sz="4" w:space="0"/>
            </w:tcBorders>
            <w:shd w:val="clear" w:color="auto" w:fill="auto"/>
            <w:vAlign w:val="center"/>
          </w:tcPr>
          <w:p w14:paraId="1743156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一级指标</w:t>
            </w:r>
          </w:p>
        </w:tc>
        <w:tc>
          <w:tcPr>
            <w:tcW w:w="662" w:type="pct"/>
            <w:tcBorders>
              <w:top w:val="single" w:color="auto" w:sz="4" w:space="0"/>
              <w:left w:val="single" w:color="auto" w:sz="4" w:space="0"/>
              <w:bottom w:val="single" w:color="auto" w:sz="4" w:space="0"/>
              <w:right w:val="single" w:color="auto" w:sz="4" w:space="0"/>
            </w:tcBorders>
            <w:shd w:val="clear" w:color="auto" w:fill="auto"/>
            <w:vAlign w:val="center"/>
          </w:tcPr>
          <w:p w14:paraId="0F7C3CBA">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二级指标</w:t>
            </w: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7CA2F76A">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三级指标</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4586860C">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分值</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182EDE35">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得分</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1CD6B31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得分率</w:t>
            </w:r>
          </w:p>
        </w:tc>
      </w:tr>
      <w:tr w14:paraId="3C052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00F7A4">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当年预算执行情况</w:t>
            </w:r>
          </w:p>
          <w:p w14:paraId="28CCB5D8">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（20分）</w:t>
            </w:r>
          </w:p>
        </w:tc>
        <w:tc>
          <w:tcPr>
            <w:tcW w:w="662" w:type="pct"/>
            <w:tcBorders>
              <w:top w:val="single" w:color="auto" w:sz="4" w:space="0"/>
              <w:left w:val="single" w:color="auto" w:sz="4" w:space="0"/>
              <w:bottom w:val="single" w:color="auto" w:sz="4" w:space="0"/>
              <w:right w:val="single" w:color="auto" w:sz="4" w:space="0"/>
            </w:tcBorders>
            <w:shd w:val="clear" w:color="auto" w:fill="auto"/>
            <w:vAlign w:val="center"/>
          </w:tcPr>
          <w:p w14:paraId="0772349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预算执行率（20分）</w:t>
            </w: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47F42F1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预算执行率</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4C0E7C04">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20</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7F26089C">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19.35</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2FD13BFE">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96.75</w:t>
            </w:r>
            <w:r>
              <w:rPr>
                <w:rFonts w:hint="eastAsia" w:ascii="宋体" w:hAnsi="宋体" w:eastAsia="宋体" w:cs="宋体"/>
                <w:kern w:val="0"/>
                <w:sz w:val="20"/>
                <w:szCs w:val="20"/>
                <w:lang w:val="en-US" w:eastAsia="zh-CN" w:bidi="ar"/>
              </w:rPr>
              <w:t>%</w:t>
            </w:r>
          </w:p>
        </w:tc>
      </w:tr>
      <w:tr w14:paraId="1CACA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7CEBC7">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60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D1F9F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小计</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342F627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20</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654CA7CE">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19.</w:t>
            </w:r>
            <w:r>
              <w:rPr>
                <w:rFonts w:hint="eastAsia" w:ascii="宋体" w:hAnsi="宋体" w:cs="宋体"/>
                <w:b/>
                <w:bCs/>
                <w:kern w:val="0"/>
                <w:sz w:val="20"/>
                <w:szCs w:val="20"/>
                <w:lang w:val="en-US" w:eastAsia="zh-CN" w:bidi="ar"/>
              </w:rPr>
              <w:t>35</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1D343CEC">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cs="宋体"/>
                <w:b/>
                <w:bCs/>
                <w:kern w:val="0"/>
                <w:sz w:val="20"/>
                <w:szCs w:val="20"/>
                <w:lang w:val="en-US" w:eastAsia="zh-CN" w:bidi="ar"/>
              </w:rPr>
              <w:t>96.75</w:t>
            </w:r>
            <w:r>
              <w:rPr>
                <w:rFonts w:hint="eastAsia" w:ascii="宋体" w:hAnsi="宋体" w:eastAsia="宋体" w:cs="宋体"/>
                <w:b/>
                <w:bCs/>
                <w:kern w:val="0"/>
                <w:sz w:val="20"/>
                <w:szCs w:val="20"/>
                <w:lang w:val="en-US" w:eastAsia="zh-CN" w:bidi="ar"/>
              </w:rPr>
              <w:t>%</w:t>
            </w:r>
          </w:p>
        </w:tc>
      </w:tr>
      <w:tr w14:paraId="3F16C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restart"/>
            <w:tcBorders>
              <w:top w:val="single" w:color="auto" w:sz="4" w:space="0"/>
              <w:left w:val="single" w:color="auto" w:sz="4" w:space="0"/>
              <w:right w:val="single" w:color="auto" w:sz="4" w:space="0"/>
            </w:tcBorders>
            <w:shd w:val="clear" w:color="auto" w:fill="auto"/>
            <w:vAlign w:val="center"/>
          </w:tcPr>
          <w:p w14:paraId="6CDA610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整体绩效目标实现情况</w:t>
            </w:r>
          </w:p>
          <w:p w14:paraId="79ADFF2C">
            <w:pPr>
              <w:keepNext w:val="0"/>
              <w:keepLines w:val="0"/>
              <w:widowControl/>
              <w:suppressLineNumbers w:val="0"/>
              <w:adjustRightInd w:val="0"/>
              <w:snapToGrid w:val="0"/>
              <w:spacing w:before="0" w:beforeAutospacing="0" w:after="0" w:afterAutospacing="0"/>
              <w:ind w:left="0" w:right="0"/>
              <w:jc w:val="center"/>
              <w:rPr>
                <w:rFonts w:hint="eastAsia" w:ascii="Calibri" w:hAnsi="Calibri" w:eastAsia="宋体" w:cs="Times New Roman"/>
                <w:sz w:val="20"/>
                <w:szCs w:val="20"/>
                <w:lang w:val="en-US" w:eastAsia="zh-CN"/>
              </w:rPr>
            </w:pPr>
            <w:r>
              <w:rPr>
                <w:rFonts w:hint="eastAsia" w:ascii="宋体" w:hAnsi="宋体" w:eastAsia="宋体" w:cs="宋体"/>
                <w:kern w:val="0"/>
                <w:sz w:val="20"/>
                <w:szCs w:val="20"/>
                <w:lang w:val="en-US" w:eastAsia="zh-CN" w:bidi="ar"/>
              </w:rPr>
              <w:t>（60分）</w:t>
            </w:r>
          </w:p>
        </w:tc>
        <w:tc>
          <w:tcPr>
            <w:tcW w:w="66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5FD68D">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产出</w:t>
            </w:r>
          </w:p>
          <w:p w14:paraId="1606FF58">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（30分）</w:t>
            </w: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5599F30C">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部门年度产出数量情况</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7C062D4A">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10</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477E93C3">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8.74</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187D27BE">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87.40</w:t>
            </w:r>
            <w:r>
              <w:rPr>
                <w:rFonts w:hint="eastAsia" w:ascii="宋体" w:hAnsi="宋体" w:eastAsia="宋体" w:cs="宋体"/>
                <w:kern w:val="0"/>
                <w:sz w:val="20"/>
                <w:szCs w:val="20"/>
                <w:lang w:val="en-US" w:eastAsia="zh-CN" w:bidi="ar"/>
              </w:rPr>
              <w:t>%</w:t>
            </w:r>
          </w:p>
        </w:tc>
      </w:tr>
      <w:tr w14:paraId="5D52D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074E15D7">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CDC2B81">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7AC50A99">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部门年度产出质量情况</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5BDD2CAD">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7</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27DA7CF1">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6.50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78BF9874">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92.86%</w:t>
            </w:r>
          </w:p>
        </w:tc>
      </w:tr>
      <w:tr w14:paraId="51F9E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29F73B3F">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711FF2">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37E3A28C">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部门年度产出进度情况</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4DF58206">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8</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06163F81">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eastAsia="宋体" w:cs="宋体"/>
                <w:kern w:val="0"/>
                <w:sz w:val="20"/>
                <w:szCs w:val="20"/>
                <w:lang w:val="en-US" w:eastAsia="zh-CN" w:bidi="ar"/>
              </w:rPr>
              <w:t>7.</w:t>
            </w:r>
            <w:r>
              <w:rPr>
                <w:rFonts w:hint="eastAsia" w:ascii="宋体" w:hAnsi="宋体" w:cs="宋体"/>
                <w:kern w:val="0"/>
                <w:sz w:val="20"/>
                <w:szCs w:val="20"/>
                <w:lang w:val="en-US" w:eastAsia="zh-CN" w:bidi="ar"/>
              </w:rPr>
              <w:t>30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1CBEF38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91.25</w:t>
            </w:r>
            <w:r>
              <w:rPr>
                <w:rFonts w:hint="eastAsia" w:ascii="宋体" w:hAnsi="宋体" w:eastAsia="宋体" w:cs="宋体"/>
                <w:kern w:val="0"/>
                <w:sz w:val="20"/>
                <w:szCs w:val="20"/>
                <w:lang w:val="en-US" w:eastAsia="zh-CN" w:bidi="ar"/>
              </w:rPr>
              <w:t>%</w:t>
            </w:r>
          </w:p>
        </w:tc>
      </w:tr>
      <w:tr w14:paraId="0028D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90" w:hRule="atLeast"/>
          <w:jc w:val="center"/>
        </w:trPr>
        <w:tc>
          <w:tcPr>
            <w:tcW w:w="570" w:type="pct"/>
            <w:vMerge w:val="continue"/>
            <w:tcBorders>
              <w:left w:val="single" w:color="auto" w:sz="4" w:space="0"/>
              <w:right w:val="single" w:color="auto" w:sz="4" w:space="0"/>
            </w:tcBorders>
            <w:shd w:val="clear" w:color="auto" w:fill="auto"/>
            <w:vAlign w:val="center"/>
          </w:tcPr>
          <w:p w14:paraId="7D63FCB3">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785D1C">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67939C0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部门年度产出成本情况</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0F637E03">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5</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1B6AD0E6">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4.20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305FF0AD">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84.00</w:t>
            </w:r>
            <w:r>
              <w:rPr>
                <w:rFonts w:hint="eastAsia" w:ascii="宋体" w:hAnsi="宋体" w:eastAsia="宋体" w:cs="宋体"/>
                <w:kern w:val="0"/>
                <w:sz w:val="20"/>
                <w:szCs w:val="20"/>
                <w:lang w:val="en-US" w:eastAsia="zh-CN" w:bidi="ar"/>
              </w:rPr>
              <w:t>%</w:t>
            </w:r>
          </w:p>
        </w:tc>
      </w:tr>
      <w:tr w14:paraId="5988F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169E0F19">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p>
        </w:tc>
        <w:tc>
          <w:tcPr>
            <w:tcW w:w="662" w:type="pct"/>
            <w:vMerge w:val="restart"/>
            <w:tcBorders>
              <w:top w:val="single" w:color="auto" w:sz="4" w:space="0"/>
              <w:left w:val="single" w:color="auto" w:sz="4" w:space="0"/>
              <w:right w:val="single" w:color="auto" w:sz="4" w:space="0"/>
            </w:tcBorders>
            <w:shd w:val="clear" w:color="auto" w:fill="auto"/>
            <w:vAlign w:val="center"/>
          </w:tcPr>
          <w:p w14:paraId="07C7FADE">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效果</w:t>
            </w:r>
          </w:p>
          <w:p w14:paraId="318EC43C">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eastAsia="zh-CN" w:bidi="ar"/>
              </w:rPr>
            </w:pPr>
            <w:r>
              <w:rPr>
                <w:rFonts w:hint="eastAsia" w:ascii="宋体" w:hAnsi="宋体" w:eastAsia="宋体" w:cs="宋体"/>
                <w:kern w:val="0"/>
                <w:sz w:val="20"/>
                <w:szCs w:val="20"/>
                <w:lang w:val="en-US" w:eastAsia="zh-CN" w:bidi="ar"/>
              </w:rPr>
              <w:t>（30分）</w:t>
            </w:r>
          </w:p>
          <w:p w14:paraId="32D58C1A">
            <w:pPr>
              <w:keepNext w:val="0"/>
              <w:keepLines w:val="0"/>
              <w:suppressLineNumbers w:val="0"/>
              <w:spacing w:before="0" w:beforeAutospacing="0" w:after="0" w:afterAutospacing="0"/>
              <w:ind w:left="0" w:right="0"/>
              <w:jc w:val="center"/>
              <w:rPr>
                <w:rFonts w:hint="eastAsia" w:ascii="Calibri" w:hAnsi="Calibri" w:eastAsia="宋体" w:cs="Times New Roman"/>
                <w:sz w:val="20"/>
                <w:szCs w:val="20"/>
                <w:lang w:val="en-US" w:eastAsia="zh-CN"/>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3D389E05">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rPr>
              <w:t>服务保障全市中心工作</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00171D8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66F734AC">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3.80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4AC0C6F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95</w:t>
            </w:r>
            <w:r>
              <w:rPr>
                <w:rFonts w:hint="eastAsia" w:ascii="宋体" w:hAnsi="宋体" w:eastAsia="宋体" w:cs="宋体"/>
                <w:kern w:val="0"/>
                <w:sz w:val="20"/>
                <w:szCs w:val="20"/>
                <w:lang w:val="en-US" w:eastAsia="zh-CN" w:bidi="ar"/>
              </w:rPr>
              <w:t>.00%</w:t>
            </w:r>
          </w:p>
        </w:tc>
      </w:tr>
      <w:tr w14:paraId="2A046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17512B9A">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left w:val="single" w:color="auto" w:sz="4" w:space="0"/>
              <w:right w:val="single" w:color="auto" w:sz="4" w:space="0"/>
            </w:tcBorders>
            <w:shd w:val="clear" w:color="auto" w:fill="auto"/>
            <w:vAlign w:val="center"/>
          </w:tcPr>
          <w:p w14:paraId="7B57E0AC">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35B8DA7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Times New Roman" w:hAnsi="Times New Roman" w:eastAsia="宋体" w:cs="宋体"/>
                <w:kern w:val="2"/>
                <w:sz w:val="20"/>
                <w:szCs w:val="20"/>
                <w:lang w:val="en-US" w:eastAsia="zh-CN" w:bidi="ar"/>
              </w:rPr>
              <w:t>深化接诉即办改革</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44C49624">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090EA7ED">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3.80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2168484C">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95</w:t>
            </w:r>
            <w:r>
              <w:rPr>
                <w:rFonts w:hint="eastAsia" w:ascii="宋体" w:hAnsi="宋体" w:eastAsia="宋体" w:cs="宋体"/>
                <w:kern w:val="0"/>
                <w:sz w:val="20"/>
                <w:szCs w:val="20"/>
                <w:lang w:val="en-US" w:eastAsia="zh-CN" w:bidi="ar"/>
              </w:rPr>
              <w:t>.00%</w:t>
            </w:r>
          </w:p>
        </w:tc>
      </w:tr>
      <w:tr w14:paraId="17264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06617305">
            <w:pPr>
              <w:keepNext w:val="0"/>
              <w:keepLines w:val="0"/>
              <w:suppressLineNumbers w:val="0"/>
              <w:spacing w:before="0" w:beforeAutospacing="0" w:after="0" w:afterAutospacing="0"/>
              <w:ind w:left="0" w:right="0"/>
              <w:jc w:val="center"/>
              <w:rPr>
                <w:rFonts w:hint="eastAsia" w:ascii="Calibri" w:hAnsi="Calibri" w:eastAsia="宋体" w:cs="Times New Roman"/>
                <w:sz w:val="20"/>
                <w:szCs w:val="20"/>
                <w:lang w:val="en-US" w:eastAsia="zh-CN"/>
              </w:rPr>
            </w:pPr>
          </w:p>
        </w:tc>
        <w:tc>
          <w:tcPr>
            <w:tcW w:w="662" w:type="pct"/>
            <w:vMerge w:val="continue"/>
            <w:tcBorders>
              <w:left w:val="single" w:color="auto" w:sz="4" w:space="0"/>
              <w:right w:val="single" w:color="auto" w:sz="4" w:space="0"/>
            </w:tcBorders>
            <w:shd w:val="clear" w:color="auto" w:fill="auto"/>
            <w:vAlign w:val="center"/>
          </w:tcPr>
          <w:p w14:paraId="76A257EF">
            <w:pPr>
              <w:keepNext w:val="0"/>
              <w:keepLines w:val="0"/>
              <w:suppressLineNumbers w:val="0"/>
              <w:spacing w:before="0" w:beforeAutospacing="0" w:after="0" w:afterAutospacing="0"/>
              <w:ind w:left="0" w:right="0"/>
              <w:jc w:val="center"/>
              <w:rPr>
                <w:rFonts w:hint="eastAsia" w:ascii="Calibri" w:hAnsi="Calibri" w:eastAsia="宋体" w:cs="Times New Roman"/>
                <w:sz w:val="20"/>
                <w:szCs w:val="20"/>
                <w:lang w:val="en-US" w:eastAsia="zh-CN"/>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26EF5F45">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Times New Roman" w:hAnsi="Times New Roman" w:eastAsia="宋体" w:cs="宋体"/>
                <w:kern w:val="2"/>
                <w:sz w:val="20"/>
                <w:szCs w:val="20"/>
                <w:lang w:val="en-US" w:eastAsia="zh-CN" w:bidi="ar"/>
              </w:rPr>
              <w:t>推进政府职能转变</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55268889">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6B36089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3.80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040A74E3">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95.00%</w:t>
            </w:r>
          </w:p>
        </w:tc>
      </w:tr>
      <w:tr w14:paraId="135E1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29146847">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left w:val="single" w:color="auto" w:sz="4" w:space="0"/>
              <w:right w:val="single" w:color="auto" w:sz="4" w:space="0"/>
            </w:tcBorders>
            <w:shd w:val="clear" w:color="auto" w:fill="auto"/>
            <w:vAlign w:val="center"/>
          </w:tcPr>
          <w:p w14:paraId="039BE26D">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5783D9F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Times New Roman" w:hAnsi="Times New Roman" w:eastAsia="宋体" w:cs="宋体"/>
                <w:kern w:val="2"/>
                <w:sz w:val="20"/>
                <w:szCs w:val="20"/>
                <w:lang w:val="en-US" w:eastAsia="zh-CN" w:bidi="ar"/>
              </w:rPr>
              <w:t>推动京津冀政务服务协同发展</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01B7B011">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408CC2C6">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3.80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70275CFA">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95.00%</w:t>
            </w:r>
          </w:p>
        </w:tc>
      </w:tr>
      <w:tr w14:paraId="3CEDE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10D083AB">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left w:val="single" w:color="auto" w:sz="4" w:space="0"/>
              <w:right w:val="single" w:color="auto" w:sz="4" w:space="0"/>
            </w:tcBorders>
            <w:shd w:val="clear" w:color="auto" w:fill="auto"/>
            <w:vAlign w:val="center"/>
          </w:tcPr>
          <w:p w14:paraId="0F63711A">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0F6FE50D">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rPr>
              <w:t>加强数字政务建设</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472B4EF9">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10A0BCF1">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3.80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3D90E71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95.00%</w:t>
            </w:r>
          </w:p>
        </w:tc>
      </w:tr>
      <w:tr w14:paraId="56B1F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32CBD58E">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left w:val="single" w:color="auto" w:sz="4" w:space="0"/>
              <w:right w:val="single" w:color="auto" w:sz="4" w:space="0"/>
            </w:tcBorders>
            <w:shd w:val="clear" w:color="auto" w:fill="auto"/>
            <w:vAlign w:val="center"/>
          </w:tcPr>
          <w:p w14:paraId="3BF6BD5C">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0DB54A4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Times New Roman" w:hAnsi="Times New Roman" w:eastAsia="宋体" w:cs="宋体"/>
                <w:kern w:val="2"/>
                <w:sz w:val="20"/>
                <w:szCs w:val="20"/>
                <w:lang w:val="en-US" w:eastAsia="zh-CN" w:bidi="ar"/>
              </w:rPr>
              <w:t>提升国际化政务服务能力</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0250DE7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10C187C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3.80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3B670C96">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95.00%</w:t>
            </w:r>
          </w:p>
        </w:tc>
      </w:tr>
      <w:tr w14:paraId="6A211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44B22DC2">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p>
        </w:tc>
        <w:tc>
          <w:tcPr>
            <w:tcW w:w="662" w:type="pct"/>
            <w:vMerge w:val="continue"/>
            <w:tcBorders>
              <w:left w:val="single" w:color="auto" w:sz="4" w:space="0"/>
              <w:right w:val="single" w:color="auto" w:sz="4" w:space="0"/>
            </w:tcBorders>
            <w:shd w:val="clear" w:color="auto" w:fill="auto"/>
            <w:vAlign w:val="center"/>
          </w:tcPr>
          <w:p w14:paraId="6658429E">
            <w:pPr>
              <w:keepNext w:val="0"/>
              <w:keepLines w:val="0"/>
              <w:widowControl w:val="0"/>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011A83C6">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Times New Roman" w:hAnsi="Times New Roman" w:eastAsia="宋体" w:cs="宋体"/>
                <w:kern w:val="2"/>
                <w:sz w:val="20"/>
                <w:szCs w:val="20"/>
                <w:lang w:val="en-US" w:eastAsia="zh-CN" w:bidi="ar"/>
              </w:rPr>
              <w:t>优化为中央单位服务</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613F90E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3</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49F8FAEF">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2.85</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5CD47845">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eastAsia="宋体" w:cs="宋体"/>
                <w:kern w:val="0"/>
                <w:sz w:val="20"/>
                <w:szCs w:val="20"/>
                <w:lang w:val="en-US" w:eastAsia="zh-CN" w:bidi="ar"/>
              </w:rPr>
              <w:t>95.00</w:t>
            </w:r>
            <w:r>
              <w:rPr>
                <w:rFonts w:hint="eastAsia" w:ascii="宋体" w:hAnsi="宋体" w:cs="宋体"/>
                <w:kern w:val="0"/>
                <w:sz w:val="20"/>
                <w:szCs w:val="20"/>
                <w:lang w:val="en-US" w:eastAsia="zh-CN" w:bidi="ar"/>
              </w:rPr>
              <w:t>%</w:t>
            </w:r>
          </w:p>
        </w:tc>
      </w:tr>
      <w:tr w14:paraId="125D6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6A55D47E">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left w:val="single" w:color="auto" w:sz="4" w:space="0"/>
              <w:bottom w:val="single" w:color="auto" w:sz="4" w:space="0"/>
              <w:right w:val="single" w:color="auto" w:sz="4" w:space="0"/>
            </w:tcBorders>
            <w:shd w:val="clear" w:color="auto" w:fill="auto"/>
            <w:vAlign w:val="center"/>
          </w:tcPr>
          <w:p w14:paraId="2DA11D6B">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527BB8B9">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Times New Roman" w:hAnsi="Times New Roman" w:eastAsia="宋体" w:cs="宋体"/>
                <w:kern w:val="2"/>
                <w:sz w:val="20"/>
                <w:szCs w:val="20"/>
                <w:lang w:val="en-US" w:eastAsia="zh-CN" w:bidi="ar"/>
              </w:rPr>
              <w:t>深化政务公开</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22B61BB7">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3</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3363122C">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2.85</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5BE4B9E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95.00%</w:t>
            </w:r>
          </w:p>
        </w:tc>
      </w:tr>
      <w:tr w14:paraId="2F11C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tcBorders>
              <w:left w:val="single" w:color="auto" w:sz="4" w:space="0"/>
              <w:bottom w:val="single" w:color="auto" w:sz="4" w:space="0"/>
              <w:right w:val="single" w:color="auto" w:sz="4" w:space="0"/>
            </w:tcBorders>
            <w:shd w:val="clear" w:color="auto" w:fill="auto"/>
            <w:vAlign w:val="center"/>
          </w:tcPr>
          <w:p w14:paraId="3C32AD6A">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60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E4D23A">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小计</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431F86E5">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60</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29311D18">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55.</w:t>
            </w:r>
            <w:r>
              <w:rPr>
                <w:rFonts w:hint="eastAsia" w:ascii="宋体" w:hAnsi="宋体" w:cs="宋体"/>
                <w:b/>
                <w:bCs/>
                <w:kern w:val="0"/>
                <w:sz w:val="20"/>
                <w:szCs w:val="20"/>
                <w:lang w:val="en-US" w:eastAsia="zh-CN" w:bidi="ar"/>
              </w:rPr>
              <w:t>24</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1EE9F12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92.</w:t>
            </w:r>
            <w:r>
              <w:rPr>
                <w:rFonts w:hint="eastAsia" w:ascii="宋体" w:hAnsi="宋体" w:cs="宋体"/>
                <w:b/>
                <w:bCs/>
                <w:kern w:val="0"/>
                <w:sz w:val="20"/>
                <w:szCs w:val="20"/>
                <w:lang w:val="en-US" w:eastAsia="zh-CN" w:bidi="ar"/>
              </w:rPr>
              <w:t>07</w:t>
            </w:r>
            <w:r>
              <w:rPr>
                <w:rFonts w:hint="eastAsia" w:ascii="宋体" w:hAnsi="宋体" w:eastAsia="宋体" w:cs="宋体"/>
                <w:b/>
                <w:bCs/>
                <w:kern w:val="0"/>
                <w:sz w:val="20"/>
                <w:szCs w:val="20"/>
                <w:lang w:val="en-US" w:eastAsia="zh-CN" w:bidi="ar"/>
              </w:rPr>
              <w:t>%</w:t>
            </w:r>
          </w:p>
        </w:tc>
      </w:tr>
      <w:tr w14:paraId="4A551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restart"/>
            <w:tcBorders>
              <w:top w:val="single" w:color="auto" w:sz="4" w:space="0"/>
              <w:left w:val="single" w:color="auto" w:sz="4" w:space="0"/>
              <w:right w:val="single" w:color="auto" w:sz="4" w:space="0"/>
            </w:tcBorders>
            <w:shd w:val="clear" w:color="auto" w:fill="auto"/>
            <w:vAlign w:val="center"/>
          </w:tcPr>
          <w:p w14:paraId="3AE254A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预算管理情况</w:t>
            </w:r>
          </w:p>
          <w:p w14:paraId="0FF90216">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（20分）</w:t>
            </w:r>
          </w:p>
        </w:tc>
        <w:tc>
          <w:tcPr>
            <w:tcW w:w="66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078D47">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财务管理</w:t>
            </w:r>
          </w:p>
          <w:p w14:paraId="2DAA90E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（4分）</w:t>
            </w: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0003497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财务管理制度健全性</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0233152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1</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002062E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0.</w:t>
            </w:r>
            <w:r>
              <w:rPr>
                <w:rFonts w:hint="eastAsia" w:ascii="宋体" w:hAnsi="宋体" w:cs="宋体"/>
                <w:kern w:val="0"/>
                <w:sz w:val="20"/>
                <w:szCs w:val="20"/>
                <w:lang w:val="en-US" w:eastAsia="zh-CN" w:bidi="ar"/>
              </w:rPr>
              <w:t>8</w:t>
            </w:r>
            <w:r>
              <w:rPr>
                <w:rFonts w:hint="eastAsia" w:ascii="宋体" w:hAnsi="宋体" w:eastAsia="宋体" w:cs="宋体"/>
                <w:kern w:val="0"/>
                <w:sz w:val="20"/>
                <w:szCs w:val="20"/>
                <w:lang w:val="en-US" w:eastAsia="zh-CN" w:bidi="ar"/>
              </w:rPr>
              <w:t>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46BF379C">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80</w:t>
            </w:r>
            <w:r>
              <w:rPr>
                <w:rFonts w:hint="eastAsia" w:ascii="宋体" w:hAnsi="宋体" w:eastAsia="宋体" w:cs="宋体"/>
                <w:kern w:val="0"/>
                <w:sz w:val="20"/>
                <w:szCs w:val="20"/>
                <w:lang w:val="en-US" w:eastAsia="zh-CN" w:bidi="ar"/>
              </w:rPr>
              <w:t>.00%</w:t>
            </w:r>
          </w:p>
        </w:tc>
      </w:tr>
      <w:tr w14:paraId="1B4FA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031E40C5">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4DBBA9">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2223B84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资金使用合规性和安全性</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5D029265">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2</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4613201B">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1.50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482FA0A8">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75</w:t>
            </w:r>
            <w:r>
              <w:rPr>
                <w:rFonts w:hint="eastAsia" w:ascii="宋体" w:hAnsi="宋体" w:eastAsia="宋体" w:cs="宋体"/>
                <w:kern w:val="0"/>
                <w:sz w:val="20"/>
                <w:szCs w:val="20"/>
                <w:lang w:val="en-US" w:eastAsia="zh-CN" w:bidi="ar"/>
              </w:rPr>
              <w:t>.00%</w:t>
            </w:r>
          </w:p>
        </w:tc>
      </w:tr>
      <w:tr w14:paraId="51C21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35" w:hRule="atLeast"/>
          <w:jc w:val="center"/>
        </w:trPr>
        <w:tc>
          <w:tcPr>
            <w:tcW w:w="570" w:type="pct"/>
            <w:vMerge w:val="continue"/>
            <w:tcBorders>
              <w:left w:val="single" w:color="auto" w:sz="4" w:space="0"/>
              <w:right w:val="single" w:color="auto" w:sz="4" w:space="0"/>
            </w:tcBorders>
            <w:shd w:val="clear" w:color="auto" w:fill="auto"/>
            <w:vAlign w:val="center"/>
          </w:tcPr>
          <w:p w14:paraId="3F1FF63A">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F0AC323">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660CC757">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会计基础信息完善性</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2C9CE38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1</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74425A1F">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1.00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669826B1">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100.00%</w:t>
            </w:r>
          </w:p>
        </w:tc>
      </w:tr>
      <w:tr w14:paraId="70BE8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28B6C452">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tcBorders>
              <w:top w:val="single" w:color="auto" w:sz="4" w:space="0"/>
              <w:left w:val="single" w:color="auto" w:sz="4" w:space="0"/>
              <w:bottom w:val="single" w:color="auto" w:sz="4" w:space="0"/>
              <w:right w:val="single" w:color="auto" w:sz="4" w:space="0"/>
            </w:tcBorders>
            <w:shd w:val="clear" w:color="auto" w:fill="auto"/>
            <w:vAlign w:val="center"/>
          </w:tcPr>
          <w:p w14:paraId="06D56329">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资产管理</w:t>
            </w:r>
          </w:p>
          <w:p w14:paraId="543C65F1">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（4分）</w:t>
            </w: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56828AF6">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资产管理规范性</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5D1B8E10">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7BD26CD9">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4.00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444B8C7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10</w:t>
            </w:r>
            <w:r>
              <w:rPr>
                <w:rFonts w:hint="eastAsia" w:ascii="宋体" w:hAnsi="宋体" w:eastAsia="宋体" w:cs="宋体"/>
                <w:kern w:val="0"/>
                <w:sz w:val="20"/>
                <w:szCs w:val="20"/>
                <w:lang w:val="en-US" w:eastAsia="zh-CN" w:bidi="ar"/>
              </w:rPr>
              <w:t>0.00%</w:t>
            </w:r>
          </w:p>
        </w:tc>
      </w:tr>
      <w:tr w14:paraId="0C497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83" w:hRule="atLeast"/>
          <w:jc w:val="center"/>
        </w:trPr>
        <w:tc>
          <w:tcPr>
            <w:tcW w:w="570" w:type="pct"/>
            <w:vMerge w:val="continue"/>
            <w:tcBorders>
              <w:left w:val="single" w:color="auto" w:sz="4" w:space="0"/>
              <w:bottom w:val="single" w:color="auto" w:sz="4" w:space="0"/>
              <w:right w:val="single" w:color="auto" w:sz="4" w:space="0"/>
            </w:tcBorders>
            <w:shd w:val="clear" w:color="auto" w:fill="auto"/>
            <w:vAlign w:val="center"/>
          </w:tcPr>
          <w:p w14:paraId="6F0C5096">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tcBorders>
              <w:top w:val="single" w:color="auto" w:sz="4" w:space="0"/>
              <w:left w:val="single" w:color="auto" w:sz="4" w:space="0"/>
              <w:bottom w:val="single" w:color="auto" w:sz="4" w:space="0"/>
              <w:right w:val="single" w:color="auto" w:sz="4" w:space="0"/>
            </w:tcBorders>
            <w:shd w:val="clear" w:color="auto" w:fill="auto"/>
            <w:vAlign w:val="center"/>
          </w:tcPr>
          <w:p w14:paraId="11AF084D">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绩效管理</w:t>
            </w:r>
          </w:p>
          <w:p w14:paraId="3480AE41">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（4分）</w:t>
            </w: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03AAF52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绩效管理情况</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367A9A9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74227039">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4.00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62F15477">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100.00%</w:t>
            </w:r>
          </w:p>
        </w:tc>
      </w:tr>
      <w:tr w14:paraId="6B83B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restart"/>
            <w:tcBorders>
              <w:top w:val="single" w:color="auto" w:sz="4" w:space="0"/>
              <w:left w:val="single" w:color="auto" w:sz="4" w:space="0"/>
              <w:right w:val="single" w:color="auto" w:sz="4" w:space="0"/>
            </w:tcBorders>
            <w:shd w:val="clear" w:color="auto" w:fill="auto"/>
            <w:vAlign w:val="center"/>
          </w:tcPr>
          <w:p w14:paraId="32112816">
            <w:pPr>
              <w:keepNext w:val="0"/>
              <w:keepLines w:val="0"/>
              <w:suppressLineNumbers w:val="0"/>
              <w:spacing w:before="0" w:beforeAutospacing="0" w:after="0" w:afterAutospacing="0"/>
              <w:ind w:left="0" w:right="0"/>
              <w:jc w:val="center"/>
              <w:rPr>
                <w:rFonts w:hint="eastAsia" w:ascii="Calibri" w:hAnsi="Calibri" w:eastAsia="宋体" w:cs="Times New Roman"/>
                <w:sz w:val="20"/>
                <w:szCs w:val="20"/>
                <w:lang w:val="en-US" w:eastAsia="zh-CN"/>
              </w:rPr>
            </w:pPr>
            <w:r>
              <w:rPr>
                <w:rFonts w:hint="eastAsia" w:ascii="Calibri" w:hAnsi="Calibri" w:cs="Times New Roman"/>
                <w:sz w:val="20"/>
                <w:szCs w:val="20"/>
                <w:lang w:val="en-US" w:eastAsia="zh-CN"/>
              </w:rPr>
              <w:t>续上页</w:t>
            </w:r>
          </w:p>
        </w:tc>
        <w:tc>
          <w:tcPr>
            <w:tcW w:w="662" w:type="pct"/>
            <w:tcBorders>
              <w:top w:val="single" w:color="auto" w:sz="4" w:space="0"/>
              <w:left w:val="single" w:color="auto" w:sz="4" w:space="0"/>
              <w:bottom w:val="single" w:color="auto" w:sz="4" w:space="0"/>
              <w:right w:val="single" w:color="auto" w:sz="4" w:space="0"/>
            </w:tcBorders>
            <w:shd w:val="clear" w:color="auto" w:fill="auto"/>
            <w:vAlign w:val="center"/>
          </w:tcPr>
          <w:p w14:paraId="10D32E64">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结转结余率（4分）</w:t>
            </w: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4E846FD7">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结转结余率</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42129E0D">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63600683">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rPr>
            </w:pPr>
            <w:r>
              <w:rPr>
                <w:rFonts w:hint="eastAsia" w:ascii="宋体" w:hAnsi="宋体" w:cs="宋体"/>
                <w:kern w:val="0"/>
                <w:sz w:val="20"/>
                <w:szCs w:val="20"/>
                <w:lang w:val="en-US" w:eastAsia="zh-CN" w:bidi="ar"/>
              </w:rPr>
              <w:t>3.37</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7F785303">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84.25</w:t>
            </w:r>
            <w:r>
              <w:rPr>
                <w:rFonts w:hint="eastAsia" w:ascii="宋体" w:hAnsi="宋体" w:eastAsia="宋体" w:cs="宋体"/>
                <w:kern w:val="0"/>
                <w:sz w:val="20"/>
                <w:szCs w:val="20"/>
                <w:lang w:val="en-US" w:eastAsia="zh-CN" w:bidi="ar"/>
              </w:rPr>
              <w:t>%</w:t>
            </w:r>
          </w:p>
        </w:tc>
      </w:tr>
      <w:tr w14:paraId="49F39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right w:val="single" w:color="auto" w:sz="4" w:space="0"/>
            </w:tcBorders>
            <w:shd w:val="clear" w:color="auto" w:fill="auto"/>
            <w:vAlign w:val="center"/>
          </w:tcPr>
          <w:p w14:paraId="0AA67735">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662" w:type="pct"/>
            <w:tcBorders>
              <w:top w:val="single" w:color="auto" w:sz="4" w:space="0"/>
              <w:left w:val="single" w:color="auto" w:sz="4" w:space="0"/>
              <w:bottom w:val="single" w:color="auto" w:sz="4" w:space="0"/>
              <w:right w:val="single" w:color="auto" w:sz="4" w:space="0"/>
            </w:tcBorders>
            <w:shd w:val="clear" w:color="auto" w:fill="auto"/>
            <w:vAlign w:val="center"/>
          </w:tcPr>
          <w:p w14:paraId="27D15911">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部门预决算差异率</w:t>
            </w:r>
          </w:p>
          <w:p w14:paraId="40C1D017">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（4分）</w:t>
            </w:r>
          </w:p>
        </w:tc>
        <w:tc>
          <w:tcPr>
            <w:tcW w:w="1944" w:type="pct"/>
            <w:tcBorders>
              <w:top w:val="single" w:color="auto" w:sz="4" w:space="0"/>
              <w:left w:val="single" w:color="auto" w:sz="4" w:space="0"/>
              <w:bottom w:val="single" w:color="auto" w:sz="4" w:space="0"/>
              <w:right w:val="single" w:color="auto" w:sz="4" w:space="0"/>
            </w:tcBorders>
            <w:shd w:val="clear" w:color="auto" w:fill="auto"/>
            <w:vAlign w:val="center"/>
          </w:tcPr>
          <w:p w14:paraId="1AED5C5E">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部门预决算差异率</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5215B574">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bidi="ar"/>
              </w:rPr>
              <w:t>4</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6782E2B3">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kern w:val="0"/>
                <w:sz w:val="20"/>
                <w:szCs w:val="20"/>
                <w:lang w:val="en-US" w:eastAsia="zh-CN"/>
              </w:rPr>
            </w:pPr>
            <w:r>
              <w:rPr>
                <w:rFonts w:hint="eastAsia" w:ascii="宋体" w:hAnsi="宋体" w:cs="宋体"/>
                <w:kern w:val="0"/>
                <w:sz w:val="20"/>
                <w:szCs w:val="20"/>
                <w:lang w:val="en-US" w:eastAsia="zh-CN"/>
              </w:rPr>
              <w:t>3.73</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162BFA3B">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kern w:val="0"/>
                <w:sz w:val="20"/>
                <w:szCs w:val="20"/>
                <w:lang w:val="en-US"/>
              </w:rPr>
            </w:pPr>
            <w:r>
              <w:rPr>
                <w:rFonts w:hint="eastAsia" w:ascii="宋体" w:hAnsi="宋体" w:cs="宋体"/>
                <w:kern w:val="0"/>
                <w:sz w:val="20"/>
                <w:szCs w:val="20"/>
                <w:lang w:val="en-US" w:eastAsia="zh-CN" w:bidi="ar"/>
              </w:rPr>
              <w:t>93.25</w:t>
            </w:r>
            <w:r>
              <w:rPr>
                <w:rFonts w:hint="eastAsia" w:ascii="宋体" w:hAnsi="宋体" w:eastAsia="宋体" w:cs="宋体"/>
                <w:kern w:val="0"/>
                <w:sz w:val="20"/>
                <w:szCs w:val="20"/>
                <w:lang w:val="en-US" w:eastAsia="zh-CN" w:bidi="ar"/>
              </w:rPr>
              <w:t>%</w:t>
            </w:r>
          </w:p>
        </w:tc>
      </w:tr>
      <w:tr w14:paraId="60F37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570" w:type="pct"/>
            <w:vMerge w:val="continue"/>
            <w:tcBorders>
              <w:left w:val="single" w:color="auto" w:sz="4" w:space="0"/>
              <w:bottom w:val="single" w:color="auto" w:sz="4" w:space="0"/>
              <w:right w:val="single" w:color="auto" w:sz="4" w:space="0"/>
            </w:tcBorders>
            <w:shd w:val="clear" w:color="auto" w:fill="auto"/>
            <w:vAlign w:val="center"/>
          </w:tcPr>
          <w:p w14:paraId="24205275">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2606"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1E533A">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小计</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274F211A">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20</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26AA17C5">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b/>
                <w:bCs/>
                <w:kern w:val="0"/>
                <w:sz w:val="20"/>
                <w:szCs w:val="20"/>
                <w:lang w:val="en-US"/>
              </w:rPr>
            </w:pPr>
            <w:r>
              <w:rPr>
                <w:rFonts w:hint="eastAsia" w:ascii="宋体" w:hAnsi="宋体" w:cs="宋体"/>
                <w:b/>
                <w:bCs/>
                <w:kern w:val="0"/>
                <w:sz w:val="20"/>
                <w:szCs w:val="20"/>
                <w:lang w:val="en-US" w:eastAsia="zh-CN" w:bidi="ar"/>
              </w:rPr>
              <w:t>18.40</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158BDF0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cs="宋体"/>
                <w:b/>
                <w:bCs/>
                <w:kern w:val="0"/>
                <w:sz w:val="20"/>
                <w:szCs w:val="20"/>
                <w:lang w:val="en-US" w:eastAsia="zh-CN" w:bidi="ar"/>
              </w:rPr>
              <w:t>92</w:t>
            </w:r>
            <w:r>
              <w:rPr>
                <w:rFonts w:hint="eastAsia" w:ascii="宋体" w:hAnsi="宋体" w:eastAsia="宋体" w:cs="宋体"/>
                <w:b/>
                <w:bCs/>
                <w:kern w:val="0"/>
                <w:sz w:val="20"/>
                <w:szCs w:val="20"/>
                <w:lang w:val="en-US" w:eastAsia="zh-CN" w:bidi="ar"/>
              </w:rPr>
              <w:t>.00%</w:t>
            </w:r>
          </w:p>
        </w:tc>
      </w:tr>
      <w:tr w14:paraId="3FFC2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54" w:hRule="atLeast"/>
          <w:jc w:val="center"/>
        </w:trPr>
        <w:tc>
          <w:tcPr>
            <w:tcW w:w="3176" w:type="pct"/>
            <w:gridSpan w:val="3"/>
            <w:tcBorders>
              <w:top w:val="single" w:color="auto" w:sz="4" w:space="0"/>
              <w:left w:val="single" w:color="auto" w:sz="4" w:space="0"/>
              <w:bottom w:val="single" w:color="auto" w:sz="4" w:space="0"/>
              <w:right w:val="single" w:color="auto" w:sz="4" w:space="0"/>
            </w:tcBorders>
            <w:shd w:val="clear" w:color="auto" w:fill="auto"/>
            <w:vAlign w:val="center"/>
          </w:tcPr>
          <w:p w14:paraId="4515DCC5">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合　计</w:t>
            </w:r>
          </w:p>
        </w:tc>
        <w:tc>
          <w:tcPr>
            <w:tcW w:w="391" w:type="pct"/>
            <w:tcBorders>
              <w:top w:val="single" w:color="auto" w:sz="4" w:space="0"/>
              <w:left w:val="single" w:color="auto" w:sz="4" w:space="0"/>
              <w:bottom w:val="single" w:color="auto" w:sz="4" w:space="0"/>
              <w:right w:val="single" w:color="auto" w:sz="4" w:space="0"/>
            </w:tcBorders>
            <w:shd w:val="clear" w:color="auto" w:fill="auto"/>
            <w:vAlign w:val="center"/>
          </w:tcPr>
          <w:p w14:paraId="6D97F1EE">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100</w:t>
            </w:r>
          </w:p>
        </w:tc>
        <w:tc>
          <w:tcPr>
            <w:tcW w:w="687" w:type="pct"/>
            <w:tcBorders>
              <w:top w:val="single" w:color="auto" w:sz="4" w:space="0"/>
              <w:left w:val="single" w:color="auto" w:sz="4" w:space="0"/>
              <w:bottom w:val="single" w:color="auto" w:sz="4" w:space="0"/>
              <w:right w:val="single" w:color="auto" w:sz="4" w:space="0"/>
            </w:tcBorders>
            <w:shd w:val="clear" w:color="auto" w:fill="auto"/>
            <w:vAlign w:val="center"/>
          </w:tcPr>
          <w:p w14:paraId="128B451B">
            <w:pPr>
              <w:keepNext w:val="0"/>
              <w:keepLines w:val="0"/>
              <w:widowControl/>
              <w:suppressLineNumbers w:val="0"/>
              <w:adjustRightInd w:val="0"/>
              <w:snapToGrid w:val="0"/>
              <w:spacing w:before="0" w:beforeAutospacing="0" w:after="0" w:afterAutospacing="0"/>
              <w:ind w:left="0" w:right="0"/>
              <w:jc w:val="center"/>
              <w:rPr>
                <w:rFonts w:hint="default"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92.</w:t>
            </w:r>
            <w:r>
              <w:rPr>
                <w:rFonts w:hint="eastAsia" w:ascii="宋体" w:hAnsi="宋体" w:cs="宋体"/>
                <w:b/>
                <w:bCs/>
                <w:kern w:val="0"/>
                <w:sz w:val="20"/>
                <w:szCs w:val="20"/>
                <w:lang w:val="en-US" w:eastAsia="zh-CN" w:bidi="ar"/>
              </w:rPr>
              <w:t>99</w:t>
            </w:r>
          </w:p>
        </w:tc>
        <w:tc>
          <w:tcPr>
            <w:tcW w:w="744" w:type="pct"/>
            <w:tcBorders>
              <w:top w:val="single" w:color="auto" w:sz="4" w:space="0"/>
              <w:left w:val="single" w:color="auto" w:sz="4" w:space="0"/>
              <w:bottom w:val="single" w:color="auto" w:sz="4" w:space="0"/>
              <w:right w:val="single" w:color="auto" w:sz="4" w:space="0"/>
            </w:tcBorders>
            <w:shd w:val="clear" w:color="auto" w:fill="auto"/>
            <w:vAlign w:val="center"/>
          </w:tcPr>
          <w:p w14:paraId="6C0EDA12">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bCs/>
                <w:kern w:val="0"/>
                <w:sz w:val="20"/>
                <w:szCs w:val="20"/>
                <w:lang w:val="en-US"/>
              </w:rPr>
            </w:pPr>
            <w:r>
              <w:rPr>
                <w:rFonts w:hint="eastAsia" w:ascii="宋体" w:hAnsi="宋体" w:eastAsia="宋体" w:cs="宋体"/>
                <w:b/>
                <w:bCs/>
                <w:kern w:val="0"/>
                <w:sz w:val="20"/>
                <w:szCs w:val="20"/>
                <w:lang w:val="en-US" w:eastAsia="zh-CN" w:bidi="ar"/>
              </w:rPr>
              <w:t>92.</w:t>
            </w:r>
            <w:r>
              <w:rPr>
                <w:rFonts w:hint="eastAsia" w:ascii="宋体" w:hAnsi="宋体" w:cs="宋体"/>
                <w:b/>
                <w:bCs/>
                <w:kern w:val="0"/>
                <w:sz w:val="20"/>
                <w:szCs w:val="20"/>
                <w:lang w:val="en-US" w:eastAsia="zh-CN" w:bidi="ar"/>
              </w:rPr>
              <w:t>99</w:t>
            </w:r>
            <w:r>
              <w:rPr>
                <w:rFonts w:hint="eastAsia" w:ascii="宋体" w:hAnsi="宋体" w:eastAsia="宋体" w:cs="宋体"/>
                <w:b/>
                <w:bCs/>
                <w:kern w:val="0"/>
                <w:sz w:val="20"/>
                <w:szCs w:val="20"/>
                <w:lang w:val="en-US" w:eastAsia="zh-CN" w:bidi="ar"/>
              </w:rPr>
              <w:t>%</w:t>
            </w:r>
          </w:p>
        </w:tc>
      </w:tr>
    </w:tbl>
    <w:p w14:paraId="716C6DE9">
      <w:pPr>
        <w:keepNext w:val="0"/>
        <w:keepLines w:val="0"/>
        <w:widowControl w:val="0"/>
        <w:suppressLineNumbers w:val="0"/>
        <w:adjustRightInd w:val="0"/>
        <w:snapToGrid w:val="0"/>
        <w:spacing w:before="0" w:beforeAutospacing="0" w:after="0" w:afterAutospacing="0" w:line="360" w:lineRule="auto"/>
        <w:ind w:left="0" w:right="0" w:firstLine="420" w:firstLineChars="200"/>
        <w:jc w:val="both"/>
        <w:rPr>
          <w:lang w:val="en-US"/>
        </w:rPr>
      </w:pPr>
    </w:p>
    <w:p w14:paraId="29C91EBE">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1"/>
        <w:rPr>
          <w:rFonts w:hint="eastAsia" w:ascii="楷体_GB2312" w:eastAsia="楷体_GB2312" w:cs="楷体_GB2312"/>
          <w:sz w:val="32"/>
          <w:szCs w:val="32"/>
          <w:lang w:val="en-US"/>
        </w:rPr>
      </w:pPr>
      <w:bookmarkStart w:id="43" w:name="_Toc4358"/>
      <w:bookmarkStart w:id="44" w:name="_Toc12363"/>
      <w:r>
        <w:rPr>
          <w:rFonts w:hint="eastAsia" w:ascii="楷体_GB2312" w:eastAsia="楷体_GB2312" w:cs="楷体_GB2312"/>
          <w:sz w:val="32"/>
          <w:szCs w:val="32"/>
          <w:lang w:eastAsia="zh-CN"/>
        </w:rPr>
        <w:t>（二）存在的问题及原因分析</w:t>
      </w:r>
      <w:bookmarkEnd w:id="43"/>
      <w:bookmarkEnd w:id="44"/>
    </w:p>
    <w:p w14:paraId="5D03D337">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2"/>
        <w:rPr>
          <w:rFonts w:hint="default" w:ascii="仿宋_GB2312" w:hAnsi="Times New Roman" w:eastAsia="仿宋_GB2312" w:cs="仿宋_GB2312"/>
          <w:bCs/>
          <w:kern w:val="2"/>
          <w:sz w:val="32"/>
          <w:szCs w:val="32"/>
          <w:lang w:val="en-US" w:eastAsia="zh-CN" w:bidi="ar"/>
        </w:rPr>
      </w:pPr>
      <w:r>
        <w:rPr>
          <w:rFonts w:hint="eastAsia" w:ascii="仿宋_GB2312" w:hAnsi="Times New Roman" w:eastAsia="仿宋_GB2312" w:cs="仿宋_GB2312"/>
          <w:bCs/>
          <w:kern w:val="2"/>
          <w:sz w:val="32"/>
          <w:szCs w:val="32"/>
          <w:lang w:val="en-US" w:eastAsia="zh-CN" w:bidi="ar"/>
        </w:rPr>
        <w:t>1.</w:t>
      </w:r>
      <w:r>
        <w:rPr>
          <w:rFonts w:hint="eastAsia" w:ascii="仿宋_GB2312" w:eastAsia="仿宋_GB2312" w:cs="仿宋_GB2312"/>
          <w:bCs/>
          <w:kern w:val="2"/>
          <w:sz w:val="32"/>
          <w:szCs w:val="32"/>
          <w:lang w:val="en-US" w:eastAsia="zh-CN" w:bidi="ar"/>
        </w:rPr>
        <w:t>项目储备工作不够充分，履职成效数据有待进一步挖潜</w:t>
      </w:r>
    </w:p>
    <w:p w14:paraId="19B963F7">
      <w:pPr>
        <w:adjustRightInd w:val="0"/>
        <w:snapToGrid w:val="0"/>
        <w:spacing w:line="560" w:lineRule="exact"/>
        <w:ind w:firstLine="640" w:firstLineChars="200"/>
        <w:rPr>
          <w:rFonts w:ascii="仿宋_GB2312" w:hAnsi="黑体" w:eastAsia="仿宋_GB2312" w:cs="宋体"/>
          <w:sz w:val="32"/>
          <w:szCs w:val="32"/>
        </w:rPr>
      </w:pPr>
      <w:r>
        <w:rPr>
          <w:rFonts w:hint="eastAsia" w:ascii="仿宋_GB2312" w:hAnsi="微软雅黑" w:eastAsia="仿宋_GB2312" w:cs="微软雅黑"/>
          <w:color w:val="333333"/>
          <w:kern w:val="2"/>
          <w:sz w:val="32"/>
          <w:szCs w:val="32"/>
          <w:shd w:val="clear" w:fill="FFFFFF"/>
          <w:lang w:val="en-US" w:eastAsia="zh-CN" w:bidi="ar"/>
        </w:rPr>
        <w:t>一</w:t>
      </w:r>
      <w:r>
        <w:rPr>
          <w:rFonts w:hint="eastAsia" w:ascii="仿宋_GB2312" w:hAnsi="仿宋" w:eastAsia="仿宋_GB2312" w:cs="仿宋_GB2312"/>
          <w:color w:val="auto"/>
          <w:kern w:val="2"/>
          <w:sz w:val="32"/>
          <w:szCs w:val="32"/>
          <w:shd w:val="clear" w:fill="FFFFFF"/>
          <w:lang w:val="en-US" w:eastAsia="zh-CN" w:bidi="ar"/>
        </w:rPr>
        <w:t>是针对新增项目的储备工作不够充分，未提前形成相关工作规划、项目实施流程及方案，</w:t>
      </w:r>
      <w:r>
        <w:rPr>
          <w:rFonts w:hint="eastAsia" w:ascii="仿宋_GB2312" w:eastAsia="仿宋_GB2312"/>
          <w:bCs/>
          <w:sz w:val="32"/>
          <w:szCs w:val="32"/>
          <w:highlight w:val="none"/>
          <w:lang w:val="en-US" w:eastAsia="zh-CN"/>
        </w:rPr>
        <w:t>造成评审周期较长，导致采购及合同签订时间滞后，项目实际开展较原计划有一定偏差；二是</w:t>
      </w:r>
      <w:r>
        <w:rPr>
          <w:rFonts w:hint="eastAsia" w:ascii="仿宋_GB2312" w:hAnsi="黑体" w:eastAsia="仿宋_GB2312" w:cs="宋体"/>
          <w:sz w:val="32"/>
          <w:szCs w:val="32"/>
        </w:rPr>
        <w:t>部门整体效益实现情况缺少与往年成效数据的</w:t>
      </w:r>
      <w:r>
        <w:rPr>
          <w:rFonts w:hint="eastAsia" w:ascii="仿宋_GB2312" w:hAnsi="黑体" w:eastAsia="仿宋_GB2312" w:cs="宋体"/>
          <w:sz w:val="32"/>
          <w:szCs w:val="32"/>
          <w:lang w:val="en-US" w:eastAsia="zh-CN"/>
        </w:rPr>
        <w:t>对比</w:t>
      </w:r>
      <w:r>
        <w:rPr>
          <w:rFonts w:hint="eastAsia" w:ascii="仿宋_GB2312" w:hAnsi="黑体" w:eastAsia="仿宋_GB2312" w:cs="宋体"/>
          <w:sz w:val="32"/>
          <w:szCs w:val="32"/>
          <w:lang w:eastAsia="zh-CN"/>
        </w:rPr>
        <w:t>、</w:t>
      </w:r>
      <w:r>
        <w:rPr>
          <w:rFonts w:hint="eastAsia" w:ascii="仿宋_GB2312" w:hAnsi="黑体" w:eastAsia="仿宋_GB2312" w:cs="宋体"/>
          <w:sz w:val="32"/>
          <w:szCs w:val="32"/>
        </w:rPr>
        <w:t>核心效益数据不够突出</w:t>
      </w:r>
      <w:r>
        <w:rPr>
          <w:rFonts w:hint="eastAsia" w:ascii="仿宋_GB2312" w:hAnsi="黑体" w:eastAsia="仿宋_GB2312" w:cs="宋体"/>
          <w:sz w:val="32"/>
          <w:szCs w:val="32"/>
          <w:lang w:eastAsia="zh-CN"/>
        </w:rPr>
        <w:t>，</w:t>
      </w:r>
      <w:r>
        <w:rPr>
          <w:rFonts w:hint="eastAsia" w:ascii="仿宋_GB2312" w:hAnsi="黑体" w:eastAsia="仿宋_GB2312" w:cs="宋体"/>
          <w:sz w:val="32"/>
          <w:szCs w:val="32"/>
        </w:rPr>
        <w:t>延续性项目年度效益以及年度工作开展对中长期目标达成的渐进式作用不够凸显，且存在部分项目对效果支撑数据及具备影响力的案例资料收集不足，一定程度上影响了对保障市政务服务局部门履职及促进政务服务能力提升效益的发挥。</w:t>
      </w:r>
    </w:p>
    <w:p w14:paraId="16D04F06">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2"/>
        <w:rPr>
          <w:rFonts w:hint="eastAsia" w:ascii="仿宋_GB2312" w:eastAsia="仿宋_GB2312" w:cs="仿宋_GB2312"/>
          <w:bCs/>
          <w:sz w:val="32"/>
          <w:szCs w:val="32"/>
          <w:lang w:val="en-US"/>
        </w:rPr>
      </w:pPr>
      <w:r>
        <w:rPr>
          <w:rFonts w:hint="eastAsia" w:ascii="仿宋_GB2312" w:eastAsia="仿宋_GB2312" w:cs="仿宋_GB2312"/>
          <w:bCs/>
          <w:kern w:val="2"/>
          <w:sz w:val="32"/>
          <w:szCs w:val="32"/>
          <w:lang w:val="en-US" w:eastAsia="zh-CN" w:bidi="ar"/>
        </w:rPr>
        <w:t>2</w:t>
      </w:r>
      <w:r>
        <w:rPr>
          <w:rFonts w:hint="eastAsia" w:ascii="仿宋_GB2312" w:hAnsi="Times New Roman" w:eastAsia="仿宋_GB2312" w:cs="仿宋_GB2312"/>
          <w:bCs/>
          <w:kern w:val="2"/>
          <w:sz w:val="32"/>
          <w:szCs w:val="32"/>
          <w:lang w:val="en-US" w:eastAsia="zh-CN" w:bidi="ar"/>
        </w:rPr>
        <w:t>.业务处室</w:t>
      </w:r>
      <w:r>
        <w:rPr>
          <w:rFonts w:hint="eastAsia" w:ascii="仿宋_GB2312" w:eastAsia="仿宋_GB2312" w:cs="仿宋_GB2312"/>
          <w:bCs/>
          <w:kern w:val="2"/>
          <w:sz w:val="32"/>
          <w:szCs w:val="32"/>
          <w:lang w:val="en-US" w:eastAsia="zh-CN" w:bidi="ar"/>
        </w:rPr>
        <w:t>针对项目的总结反馈及绩效管理意识</w:t>
      </w:r>
      <w:r>
        <w:rPr>
          <w:rFonts w:hint="eastAsia" w:ascii="仿宋_GB2312" w:hAnsi="Times New Roman" w:eastAsia="仿宋_GB2312" w:cs="仿宋_GB2312"/>
          <w:bCs/>
          <w:kern w:val="2"/>
          <w:sz w:val="32"/>
          <w:szCs w:val="32"/>
          <w:lang w:val="en-US" w:eastAsia="zh-CN" w:bidi="ar"/>
        </w:rPr>
        <w:t>有待进一步强化</w:t>
      </w:r>
    </w:p>
    <w:p w14:paraId="290C2C9B">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一是业务处室执行项目过程中</w:t>
      </w:r>
      <w:r>
        <w:rPr>
          <w:rFonts w:hint="eastAsia" w:ascii="仿宋_GB2312" w:eastAsia="仿宋_GB2312" w:cs="仿宋_GB2312"/>
          <w:kern w:val="2"/>
          <w:sz w:val="32"/>
          <w:szCs w:val="32"/>
          <w:lang w:val="en-US" w:eastAsia="zh-CN" w:bidi="ar"/>
        </w:rPr>
        <w:t>针对连续多年实施项目的总结反馈有待进一步提升，项目工作机制的优化及年度亮点不够凸显，针对实际实施有难度的指标未及时形成文档反馈、在后续年度项目材料中也未予以更新；</w:t>
      </w:r>
      <w:r>
        <w:rPr>
          <w:rFonts w:hint="eastAsia" w:ascii="仿宋_GB2312" w:hAnsi="Times New Roman" w:eastAsia="仿宋_GB2312" w:cs="仿宋_GB2312"/>
          <w:kern w:val="2"/>
          <w:sz w:val="32"/>
          <w:szCs w:val="32"/>
          <w:lang w:val="en-US" w:eastAsia="zh-CN" w:bidi="ar"/>
        </w:rPr>
        <w:t>二是业务处室/二级预算单位层面绩效管理意识还需增强，如，容易混淆预算年度对应资金、合同年度对应资金，自评初始打分容易出现预算执行与绩效产出不够对应的情况。</w:t>
      </w:r>
    </w:p>
    <w:p w14:paraId="4B142FB3">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outlineLvl w:val="0"/>
        <w:rPr>
          <w:rFonts w:hint="eastAsia" w:ascii="黑体" w:hAnsi="宋体" w:eastAsia="黑体" w:cs="宋体"/>
          <w:kern w:val="0"/>
          <w:sz w:val="32"/>
          <w:szCs w:val="32"/>
          <w:lang w:val="en-US"/>
        </w:rPr>
      </w:pPr>
      <w:bookmarkStart w:id="45" w:name="_Toc29587"/>
      <w:bookmarkStart w:id="46" w:name="_Toc25607"/>
      <w:r>
        <w:rPr>
          <w:rFonts w:hint="eastAsia" w:ascii="黑体" w:hAnsi="宋体" w:eastAsia="黑体" w:cs="宋体"/>
          <w:kern w:val="0"/>
          <w:sz w:val="32"/>
          <w:szCs w:val="32"/>
          <w:lang w:eastAsia="zh-CN"/>
        </w:rPr>
        <w:t>六、措施建议</w:t>
      </w:r>
      <w:bookmarkEnd w:id="45"/>
      <w:bookmarkEnd w:id="46"/>
    </w:p>
    <w:p w14:paraId="4233B3FC">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outlineLvl w:val="1"/>
        <w:rPr>
          <w:rFonts w:hint="eastAsia" w:ascii="楷体_GB2312" w:hAnsi="Times New Roman" w:eastAsia="楷体_GB2312" w:cs="楷体_GB2312"/>
          <w:kern w:val="2"/>
          <w:sz w:val="32"/>
          <w:szCs w:val="32"/>
          <w:lang w:val="en-US" w:eastAsia="zh-CN" w:bidi="ar"/>
        </w:rPr>
      </w:pPr>
      <w:bookmarkStart w:id="47" w:name="_Toc28594"/>
      <w:bookmarkStart w:id="48" w:name="_Toc15288"/>
      <w:r>
        <w:rPr>
          <w:rFonts w:hint="eastAsia" w:ascii="楷体_GB2312" w:hAnsi="Times New Roman" w:eastAsia="楷体_GB2312" w:cs="楷体_GB2312"/>
          <w:kern w:val="2"/>
          <w:sz w:val="32"/>
          <w:szCs w:val="32"/>
          <w:lang w:val="en-US" w:eastAsia="zh-CN" w:bidi="ar"/>
        </w:rPr>
        <w:t>（一）</w:t>
      </w:r>
      <w:r>
        <w:rPr>
          <w:rFonts w:hint="eastAsia" w:ascii="楷体_GB2312" w:eastAsia="楷体_GB2312" w:cs="楷体_GB2312"/>
          <w:kern w:val="2"/>
          <w:sz w:val="32"/>
          <w:szCs w:val="32"/>
          <w:lang w:val="en-US" w:eastAsia="zh-CN" w:bidi="ar"/>
        </w:rPr>
        <w:t>强化项目库管理及储备工作</w:t>
      </w:r>
      <w:r>
        <w:rPr>
          <w:rFonts w:hint="eastAsia" w:ascii="楷体_GB2312" w:hAnsi="Times New Roman" w:eastAsia="楷体_GB2312" w:cs="楷体_GB2312"/>
          <w:kern w:val="2"/>
          <w:sz w:val="32"/>
          <w:szCs w:val="32"/>
          <w:lang w:val="en-US" w:eastAsia="zh-CN" w:bidi="ar"/>
        </w:rPr>
        <w:t>，进一步彰显部门整体成效</w:t>
      </w:r>
      <w:bookmarkEnd w:id="47"/>
      <w:bookmarkEnd w:id="48"/>
    </w:p>
    <w:p w14:paraId="7F9633F9">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建议</w:t>
      </w:r>
      <w:r>
        <w:rPr>
          <w:rFonts w:hint="eastAsia" w:ascii="仿宋_GB2312" w:hAnsi="微软雅黑" w:eastAsia="仿宋_GB2312" w:cs="微软雅黑"/>
          <w:color w:val="333333"/>
          <w:kern w:val="2"/>
          <w:sz w:val="32"/>
          <w:szCs w:val="32"/>
          <w:lang w:val="en-US" w:eastAsia="zh-CN" w:bidi="ar"/>
        </w:rPr>
        <w:t>具体业务处室/二级预算单位强化项目库管理，结合自身履职及规划，提前储备项目，制定较为可行的申报文本材料、实施方案及技术路径，明确人员组织结构，为后续项目精准化实施奠定基础</w:t>
      </w:r>
      <w:r>
        <w:rPr>
          <w:rFonts w:hint="eastAsia" w:ascii="仿宋_GB2312" w:hAnsi="Times New Roman" w:eastAsia="仿宋_GB2312" w:cs="仿宋_GB2312"/>
          <w:kern w:val="2"/>
          <w:sz w:val="32"/>
          <w:szCs w:val="32"/>
          <w:lang w:val="en-US" w:eastAsia="zh-CN" w:bidi="ar"/>
        </w:rPr>
        <w:t>；强化项目产出成果后续应用，有效发挥各项产出成果对部门决策、业务工作的指导作用</w:t>
      </w:r>
      <w:r>
        <w:rPr>
          <w:rFonts w:hint="eastAsia" w:ascii="仿宋_GB2312" w:eastAsia="仿宋_GB2312" w:cs="仿宋_GB2312"/>
          <w:kern w:val="2"/>
          <w:sz w:val="32"/>
          <w:szCs w:val="32"/>
          <w:lang w:val="en-US" w:eastAsia="zh-CN" w:bidi="ar"/>
        </w:rPr>
        <w:t>，</w:t>
      </w:r>
      <w:r>
        <w:rPr>
          <w:rFonts w:hint="eastAsia" w:ascii="仿宋_GB2312" w:hAnsi="Times New Roman" w:eastAsia="仿宋_GB2312" w:cs="仿宋_GB2312"/>
          <w:kern w:val="2"/>
          <w:sz w:val="32"/>
          <w:szCs w:val="32"/>
          <w:lang w:val="en-US" w:eastAsia="zh-CN" w:bidi="ar"/>
        </w:rPr>
        <w:t>加强部门绩效数据的收集、整理、分析，包括工作产出成果、效果，以及部门单位在职职工、公众等服务对象满意度的调查信息，为部门预算绩效管理及后续工作改进提供依据。</w:t>
      </w:r>
    </w:p>
    <w:p w14:paraId="012C602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60" w:lineRule="exact"/>
        <w:ind w:left="0" w:right="0" w:firstLine="640" w:firstLineChars="200"/>
        <w:jc w:val="both"/>
        <w:textAlignment w:val="auto"/>
        <w:outlineLvl w:val="1"/>
        <w:rPr>
          <w:rFonts w:hint="default" w:ascii="楷体_GB2312" w:hAnsi="Times New Roman" w:eastAsia="楷体_GB2312" w:cs="楷体_GB2312"/>
          <w:kern w:val="2"/>
          <w:sz w:val="32"/>
          <w:szCs w:val="32"/>
          <w:lang w:val="en-US" w:eastAsia="zh-CN" w:bidi="ar"/>
        </w:rPr>
      </w:pPr>
      <w:bookmarkStart w:id="49" w:name="_Toc10277"/>
      <w:bookmarkStart w:id="50" w:name="_Toc15600"/>
      <w:r>
        <w:rPr>
          <w:rFonts w:hint="eastAsia" w:ascii="楷体_GB2312" w:hAnsi="Times New Roman" w:eastAsia="楷体_GB2312" w:cs="楷体_GB2312"/>
          <w:kern w:val="2"/>
          <w:sz w:val="32"/>
          <w:szCs w:val="32"/>
          <w:lang w:val="en-US" w:eastAsia="zh-CN" w:bidi="ar"/>
        </w:rPr>
        <w:t>（二）</w:t>
      </w:r>
      <w:bookmarkEnd w:id="49"/>
      <w:r>
        <w:rPr>
          <w:rFonts w:hint="eastAsia" w:ascii="楷体_GB2312" w:eastAsia="楷体_GB2312" w:cs="楷体_GB2312"/>
          <w:kern w:val="2"/>
          <w:sz w:val="32"/>
          <w:szCs w:val="32"/>
          <w:lang w:val="en-US" w:eastAsia="zh-CN" w:bidi="ar"/>
        </w:rPr>
        <w:t>加强绩效管理意识，及时总结反馈</w:t>
      </w:r>
      <w:bookmarkEnd w:id="50"/>
    </w:p>
    <w:p w14:paraId="0BA46B92">
      <w:pPr>
        <w:keepNext w:val="0"/>
        <w:keepLines w:val="0"/>
        <w:widowControl w:val="0"/>
        <w:suppressLineNumbers w:val="0"/>
        <w:adjustRightInd w:val="0"/>
        <w:snapToGrid w:val="0"/>
        <w:spacing w:before="0" w:beforeAutospacing="0" w:after="0" w:afterAutospacing="0" w:line="560" w:lineRule="exact"/>
        <w:ind w:left="0" w:right="0" w:firstLine="640" w:firstLineChars="200"/>
        <w:jc w:val="both"/>
        <w:rPr>
          <w:rFonts w:hint="eastAsia" w:ascii="仿宋_GB2312" w:hAnsi="宋体" w:eastAsia="仿宋_GB2312" w:cs="仿宋_GB2312"/>
          <w:iCs/>
          <w:kern w:val="2"/>
          <w:sz w:val="32"/>
          <w:szCs w:val="32"/>
          <w:lang w:val="en-US" w:eastAsia="zh-CN" w:bidi="ar"/>
        </w:rPr>
      </w:pPr>
      <w:r>
        <w:rPr>
          <w:rFonts w:hint="eastAsia" w:ascii="仿宋_GB2312" w:hAnsi="微软雅黑" w:eastAsia="仿宋_GB2312" w:cs="微软雅黑"/>
          <w:color w:val="333333"/>
          <w:kern w:val="2"/>
          <w:sz w:val="32"/>
          <w:szCs w:val="32"/>
          <w:lang w:val="en-US" w:eastAsia="zh-CN" w:bidi="ar"/>
        </w:rPr>
        <w:t>建议具体业务处室/二级预算单位强化项目执行情况总结，针对工作机制优化情况及年度工作亮点情况及时提炼、留存，针对执行过程中存在的不足或可操作性不强的指标及时反馈、更新。</w:t>
      </w:r>
      <w:r>
        <w:rPr>
          <w:rFonts w:hint="eastAsia" w:ascii="仿宋_GB2312" w:hAnsi="宋体" w:eastAsia="仿宋_GB2312" w:cs="仿宋_GB2312"/>
          <w:iCs/>
          <w:kern w:val="2"/>
          <w:sz w:val="32"/>
          <w:szCs w:val="32"/>
          <w:lang w:val="en-US" w:eastAsia="zh-CN" w:bidi="ar"/>
        </w:rPr>
        <w:t>此外，树立全过程预算绩效管理意识，区分预算年度与合同年度对应资金及事项的区别、联系，注意监管材料、项目产出成效材料的留存，便于业务处室/二级预算单位主体作用的发挥，进一步提升财政资金使用效益。</w:t>
      </w:r>
    </w:p>
    <w:p w14:paraId="68DD9E9E">
      <w:pPr>
        <w:adjustRightInd w:val="0"/>
        <w:snapToGrid w:val="0"/>
        <w:spacing w:line="560" w:lineRule="exact"/>
        <w:ind w:firstLine="400" w:firstLineChars="200"/>
        <w:jc w:val="center"/>
        <w:rPr>
          <w:rFonts w:ascii="黑体" w:hAnsi="黑体" w:eastAsia="黑体" w:cs="宋体"/>
          <w:color w:val="000000"/>
          <w:kern w:val="0"/>
          <w:sz w:val="20"/>
          <w:szCs w:val="20"/>
        </w:rPr>
      </w:pPr>
    </w:p>
    <w:sectPr>
      <w:pgSz w:w="11906" w:h="16838"/>
      <w:pgMar w:top="1440"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51A38">
    <w:pPr>
      <w:pStyle w:val="8"/>
      <w:ind w:firstLine="560"/>
      <w:jc w:val="right"/>
      <w:rPr>
        <w:rFonts w:ascii="宋体" w:hAnsi="宋体"/>
        <w:sz w:val="28"/>
        <w:szCs w:val="28"/>
      </w:rPr>
    </w:pPr>
  </w:p>
  <w:p w14:paraId="46177A77">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7758866"/>
    </w:sdtPr>
    <w:sdtEndPr>
      <w:rPr>
        <w:rFonts w:asciiTheme="minorEastAsia" w:hAnsiTheme="minorEastAsia" w:eastAsiaTheme="minorEastAsia"/>
        <w:sz w:val="48"/>
        <w:szCs w:val="48"/>
      </w:rPr>
    </w:sdtEndPr>
    <w:sdtContent>
      <w:p w14:paraId="776A4D1C">
        <w:pPr>
          <w:pStyle w:val="8"/>
          <w:ind w:firstLine="360"/>
          <w:jc w:val="center"/>
          <w:rPr>
            <w:rFonts w:asciiTheme="minorEastAsia" w:hAnsiTheme="minorEastAsia" w:eastAsiaTheme="minorEastAsia"/>
            <w:sz w:val="28"/>
            <w:szCs w:val="32"/>
          </w:rPr>
        </w:pPr>
        <w:r>
          <w:rPr>
            <w:rFonts w:asciiTheme="minorEastAsia" w:hAnsiTheme="minorEastAsia" w:eastAsiaTheme="minorEastAsia"/>
            <w:sz w:val="28"/>
            <w:szCs w:val="32"/>
          </w:rPr>
          <w:fldChar w:fldCharType="begin"/>
        </w:r>
        <w:r>
          <w:rPr>
            <w:rFonts w:asciiTheme="minorEastAsia" w:hAnsiTheme="minorEastAsia" w:eastAsiaTheme="minorEastAsia"/>
            <w:sz w:val="28"/>
            <w:szCs w:val="32"/>
          </w:rPr>
          <w:instrText xml:space="preserve">PAGE   \* MERGEFORMAT</w:instrText>
        </w:r>
        <w:r>
          <w:rPr>
            <w:rFonts w:asciiTheme="minorEastAsia" w:hAnsiTheme="minorEastAsia" w:eastAsiaTheme="minorEastAsia"/>
            <w:sz w:val="28"/>
            <w:szCs w:val="32"/>
          </w:rPr>
          <w:fldChar w:fldCharType="separate"/>
        </w:r>
        <w:r>
          <w:rPr>
            <w:rFonts w:asciiTheme="minorEastAsia" w:hAnsiTheme="minorEastAsia" w:eastAsiaTheme="minorEastAsia"/>
            <w:sz w:val="28"/>
            <w:szCs w:val="32"/>
            <w:lang w:val="zh-CN"/>
          </w:rPr>
          <w:t>2</w:t>
        </w:r>
        <w:r>
          <w:rPr>
            <w:rFonts w:asciiTheme="minorEastAsia" w:hAnsiTheme="minorEastAsia" w:eastAsiaTheme="minorEastAsia"/>
            <w:sz w:val="28"/>
            <w:szCs w:val="32"/>
          </w:rPr>
          <w:fldChar w:fldCharType="end"/>
        </w:r>
      </w:p>
    </w:sdtContent>
  </w:sdt>
  <w:p w14:paraId="4C15DBB6">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0">
    <w:p>
      <w:r>
        <w:separator/>
      </w:r>
    </w:p>
  </w:footnote>
  <w:footnote w:type="continuationSeparator" w:id="11">
    <w:p>
      <w:r>
        <w:continuationSeparator/>
      </w:r>
    </w:p>
  </w:footnote>
  <w:footnote w:id="0">
    <w:p w14:paraId="5412A8AA">
      <w:pPr>
        <w:pStyle w:val="11"/>
        <w:jc w:val="both"/>
      </w:pPr>
      <w:r>
        <w:rPr>
          <w:rStyle w:val="21"/>
        </w:rPr>
        <w:footnoteRef/>
      </w:r>
      <w:r>
        <w:t xml:space="preserve"> </w:t>
      </w:r>
      <w:r>
        <w:rPr>
          <w:rFonts w:hint="eastAsia"/>
        </w:rPr>
        <w:t>本图中热线中心、网厅中心为市政务服务局二级事业单位，其中，热线中心内设综合处、热线电话管理处、网络工作处、协调督办处、信息宣传处、研究室等6个机构；网厅中心内设综合部、网厅部、技术部等3个机构。此外，2023年4月，首都之窗运行管理中心转隶为市政务服务局所属事业单位，但其2023年度决算仍随同其原部门“北京市经济和信息化局”申报，因此，2023年度市政府服务局部门整体评价不涵盖首都之窗相应内容。</w:t>
      </w:r>
    </w:p>
  </w:footnote>
  <w:footnote w:id="1">
    <w:p w14:paraId="40DDC434">
      <w:pPr>
        <w:pStyle w:val="11"/>
        <w:snapToGrid w:val="0"/>
        <w:rPr>
          <w:rFonts w:hint="default" w:eastAsia="宋体"/>
          <w:lang w:val="en-US" w:eastAsia="zh-CN"/>
        </w:rPr>
      </w:pPr>
      <w:r>
        <w:rPr>
          <w:rStyle w:val="21"/>
        </w:rPr>
        <w:footnoteRef/>
      </w:r>
      <w:r>
        <w:t xml:space="preserve"> </w:t>
      </w:r>
      <w:r>
        <w:rPr>
          <w:rFonts w:hint="eastAsia"/>
          <w:lang w:val="en-US" w:eastAsia="zh-CN"/>
        </w:rPr>
        <w:t>其中，1个上年结转项目2023年度实际未执行，已于半年预算调整时交回市财政。</w:t>
      </w:r>
    </w:p>
  </w:footnote>
  <w:footnote w:id="2">
    <w:p w14:paraId="44E8CBCD">
      <w:pPr>
        <w:pStyle w:val="11"/>
        <w:snapToGrid w:val="0"/>
        <w:rPr>
          <w:rFonts w:hint="default" w:asciiTheme="majorEastAsia" w:hAnsiTheme="majorEastAsia" w:eastAsiaTheme="majorEastAsia" w:cstheme="majorEastAsia"/>
          <w:sz w:val="21"/>
          <w:szCs w:val="21"/>
          <w:highlight w:val="none"/>
        </w:rPr>
      </w:pPr>
      <w:r>
        <w:rPr>
          <w:rStyle w:val="21"/>
          <w:highlight w:val="none"/>
        </w:rPr>
        <w:footnoteRef/>
      </w:r>
      <w:r>
        <w:rPr>
          <w:highlight w:val="none"/>
        </w:rPr>
        <w:t xml:space="preserve"> </w:t>
      </w:r>
      <w:r>
        <w:rPr>
          <w:rFonts w:hint="eastAsia" w:asciiTheme="majorEastAsia" w:hAnsiTheme="majorEastAsia" w:eastAsiaTheme="majorEastAsia" w:cstheme="majorEastAsia"/>
          <w:bCs/>
          <w:sz w:val="21"/>
          <w:szCs w:val="21"/>
          <w:highlight w:val="none"/>
          <w:lang w:eastAsia="zh-CN"/>
        </w:rPr>
        <w:t>9</w:t>
      </w:r>
      <w:r>
        <w:rPr>
          <w:rFonts w:hint="eastAsia" w:asciiTheme="majorEastAsia" w:hAnsiTheme="majorEastAsia" w:eastAsiaTheme="majorEastAsia" w:cstheme="majorEastAsia"/>
          <w:bCs/>
          <w:sz w:val="21"/>
          <w:szCs w:val="21"/>
          <w:highlight w:val="none"/>
          <w:lang w:val="en-US" w:eastAsia="zh-CN"/>
        </w:rPr>
        <w:t>1个项目含年度内实际执行的</w:t>
      </w:r>
      <w:r>
        <w:rPr>
          <w:rFonts w:hint="eastAsia" w:asciiTheme="majorEastAsia" w:hAnsiTheme="majorEastAsia" w:eastAsiaTheme="majorEastAsia" w:cstheme="majorEastAsia"/>
          <w:bCs/>
          <w:sz w:val="21"/>
          <w:szCs w:val="21"/>
          <w:highlight w:val="none"/>
        </w:rPr>
        <w:t>4个上年结转，76个年初批复，11个年中追加</w:t>
      </w:r>
      <w:r>
        <w:rPr>
          <w:rFonts w:hint="eastAsia" w:asciiTheme="majorEastAsia" w:hAnsiTheme="majorEastAsia" w:eastAsiaTheme="majorEastAsia" w:cstheme="majorEastAsia"/>
          <w:bCs/>
          <w:sz w:val="21"/>
          <w:szCs w:val="21"/>
          <w:highlight w:val="none"/>
          <w:lang w:val="en-US" w:eastAsia="zh-CN"/>
        </w:rPr>
        <w:t>项目</w:t>
      </w:r>
      <w:r>
        <w:rPr>
          <w:rFonts w:hint="eastAsia" w:asciiTheme="majorEastAsia" w:hAnsiTheme="majorEastAsia" w:eastAsiaTheme="majorEastAsia" w:cstheme="majorEastAsia"/>
          <w:bCs/>
          <w:sz w:val="21"/>
          <w:szCs w:val="21"/>
          <w:highlight w:val="none"/>
          <w:lang w:eastAsia="zh-CN"/>
        </w:rPr>
        <w:t>。</w:t>
      </w:r>
    </w:p>
  </w:footnote>
  <w:footnote w:id="3">
    <w:p w14:paraId="60AFEDF1">
      <w:pPr>
        <w:pStyle w:val="11"/>
        <w:rPr>
          <w:rFonts w:asciiTheme="minorEastAsia" w:hAnsiTheme="minorEastAsia" w:eastAsiaTheme="minorEastAsia"/>
        </w:rPr>
      </w:pPr>
      <w:r>
        <w:rPr>
          <w:rStyle w:val="21"/>
          <w:rFonts w:asciiTheme="minorEastAsia" w:hAnsiTheme="minorEastAsia" w:eastAsiaTheme="minorEastAsia"/>
        </w:rPr>
        <w:footnoteRef/>
      </w:r>
      <w:r>
        <w:rPr>
          <w:rFonts w:asciiTheme="minorEastAsia" w:hAnsiTheme="minorEastAsia" w:eastAsiaTheme="minorEastAsia"/>
        </w:rPr>
        <w:t xml:space="preserve"> </w:t>
      </w:r>
      <w:r>
        <w:rPr>
          <w:rFonts w:hint="eastAsia" w:asciiTheme="minorEastAsia" w:hAnsiTheme="minorEastAsia" w:eastAsiaTheme="minorEastAsia"/>
        </w:rPr>
        <w:t>年初批复的市政务服务局（本级）的“机关因公出国经费”“服务央企工作座谈会议服务”“‘服务中央单位工作座谈会议服务”3个当年拨款项目以及热线中心的“因公出国（境）类项目”“市民热线机动经费”“档案库房设备设施采购项目”3个当年财政拨款项目，因年初批复的资金</w:t>
      </w:r>
      <w:r>
        <w:rPr>
          <w:rFonts w:asciiTheme="minorEastAsia" w:hAnsiTheme="minorEastAsia" w:eastAsiaTheme="minorEastAsia"/>
        </w:rPr>
        <w:t>41.04</w:t>
      </w:r>
      <w:r>
        <w:rPr>
          <w:rFonts w:hint="eastAsia" w:asciiTheme="minorEastAsia" w:hAnsiTheme="minorEastAsia" w:eastAsiaTheme="minorEastAsia"/>
        </w:rPr>
        <w:t>万元、</w:t>
      </w:r>
      <w:r>
        <w:rPr>
          <w:rFonts w:asciiTheme="minorEastAsia" w:hAnsiTheme="minorEastAsia" w:eastAsiaTheme="minorEastAsia"/>
        </w:rPr>
        <w:t>8.55</w:t>
      </w:r>
      <w:r>
        <w:rPr>
          <w:rFonts w:hint="eastAsia" w:asciiTheme="minorEastAsia" w:hAnsiTheme="minorEastAsia" w:eastAsiaTheme="minorEastAsia"/>
        </w:rPr>
        <w:t>万元、</w:t>
      </w:r>
      <w:r>
        <w:rPr>
          <w:rFonts w:asciiTheme="minorEastAsia" w:hAnsiTheme="minorEastAsia" w:eastAsiaTheme="minorEastAsia"/>
        </w:rPr>
        <w:t>8.55</w:t>
      </w:r>
      <w:r>
        <w:rPr>
          <w:rFonts w:hint="eastAsia" w:asciiTheme="minorEastAsia" w:hAnsiTheme="minorEastAsia" w:eastAsiaTheme="minorEastAsia"/>
        </w:rPr>
        <w:t>万元、</w:t>
      </w:r>
      <w:r>
        <w:rPr>
          <w:rFonts w:asciiTheme="minorEastAsia" w:hAnsiTheme="minorEastAsia" w:eastAsiaTheme="minorEastAsia"/>
        </w:rPr>
        <w:t>10.26</w:t>
      </w:r>
      <w:r>
        <w:rPr>
          <w:rFonts w:hint="eastAsia" w:asciiTheme="minorEastAsia" w:hAnsiTheme="minorEastAsia" w:eastAsiaTheme="minorEastAsia"/>
        </w:rPr>
        <w:t>万元、</w:t>
      </w:r>
      <w:r>
        <w:rPr>
          <w:rFonts w:asciiTheme="minorEastAsia" w:hAnsiTheme="minorEastAsia" w:eastAsiaTheme="minorEastAsia"/>
        </w:rPr>
        <w:t>73</w:t>
      </w:r>
      <w:r>
        <w:rPr>
          <w:rFonts w:hint="eastAsia" w:asciiTheme="minorEastAsia" w:hAnsiTheme="minorEastAsia" w:eastAsiaTheme="minorEastAsia"/>
        </w:rPr>
        <w:t>.00万元、</w:t>
      </w:r>
      <w:r>
        <w:rPr>
          <w:rFonts w:asciiTheme="minorEastAsia" w:hAnsiTheme="minorEastAsia" w:eastAsiaTheme="minorEastAsia"/>
        </w:rPr>
        <w:t>23.84</w:t>
      </w:r>
      <w:r>
        <w:rPr>
          <w:rFonts w:hint="eastAsia" w:asciiTheme="minorEastAsia" w:hAnsiTheme="minorEastAsia" w:eastAsiaTheme="minorEastAsia"/>
        </w:rPr>
        <w:t>万元年中已交回财政，未纳入此次</w:t>
      </w:r>
      <w:r>
        <w:rPr>
          <w:rFonts w:asciiTheme="minorEastAsia" w:hAnsiTheme="minorEastAsia" w:eastAsiaTheme="minorEastAsia"/>
        </w:rPr>
        <w:t>202</w:t>
      </w:r>
      <w:r>
        <w:rPr>
          <w:rFonts w:hint="eastAsia" w:asciiTheme="minorEastAsia" w:hAnsiTheme="minorEastAsia" w:eastAsiaTheme="minorEastAsia"/>
        </w:rPr>
        <w:t>3年度预算项目绩效自评范围。综上，</w:t>
      </w:r>
      <w:r>
        <w:rPr>
          <w:rFonts w:asciiTheme="minorEastAsia" w:hAnsiTheme="minorEastAsia" w:eastAsiaTheme="minorEastAsia"/>
        </w:rPr>
        <w:t>2023</w:t>
      </w:r>
      <w:r>
        <w:rPr>
          <w:rFonts w:hint="eastAsia" w:asciiTheme="minorEastAsia" w:hAnsiTheme="minorEastAsia" w:eastAsiaTheme="minorEastAsia"/>
        </w:rPr>
        <w:t>年度年初/当年批复项目82个，年中取消6个，截至自评时点，年初/当年批复项目共计76个。</w:t>
      </w:r>
    </w:p>
  </w:footnote>
  <w:footnote w:id="4">
    <w:p w14:paraId="28BFF0F7">
      <w:pPr>
        <w:pStyle w:val="11"/>
        <w:snapToGrid w:val="0"/>
        <w:rPr>
          <w:rFonts w:hint="default" w:eastAsia="宋体"/>
          <w:lang w:val="en-US" w:eastAsia="zh-CN"/>
        </w:rPr>
      </w:pPr>
      <w:r>
        <w:rPr>
          <w:rStyle w:val="21"/>
        </w:rPr>
        <w:footnoteRef/>
      </w:r>
      <w:r>
        <w:t xml:space="preserve"> </w:t>
      </w:r>
      <w:r>
        <w:rPr>
          <w:rFonts w:hint="eastAsia"/>
          <w:lang w:val="en-US" w:eastAsia="zh-CN"/>
        </w:rPr>
        <w:t>截至半年监控时已追加了3个项目，半年监控时点后又追加了8个项目，全年共计追加项目11个。</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10"/>
    <w:footnote w:id="11"/>
  </w:footnotePr>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1NzhmZWFiZWZmMTBlNWE3MDE4NzgzODMzZGY3MjEifQ=="/>
  </w:docVars>
  <w:rsids>
    <w:rsidRoot w:val="F77F09F4"/>
    <w:rsid w:val="00001C8C"/>
    <w:rsid w:val="000020EC"/>
    <w:rsid w:val="00002A06"/>
    <w:rsid w:val="00003243"/>
    <w:rsid w:val="0000582B"/>
    <w:rsid w:val="000059CD"/>
    <w:rsid w:val="00011588"/>
    <w:rsid w:val="00015274"/>
    <w:rsid w:val="000240BB"/>
    <w:rsid w:val="000249A1"/>
    <w:rsid w:val="00030755"/>
    <w:rsid w:val="000322F9"/>
    <w:rsid w:val="0003300B"/>
    <w:rsid w:val="00037837"/>
    <w:rsid w:val="0004018B"/>
    <w:rsid w:val="00041BCD"/>
    <w:rsid w:val="00046904"/>
    <w:rsid w:val="000524D1"/>
    <w:rsid w:val="000533A2"/>
    <w:rsid w:val="00055A9D"/>
    <w:rsid w:val="00062BC0"/>
    <w:rsid w:val="00064451"/>
    <w:rsid w:val="0006505C"/>
    <w:rsid w:val="000666EC"/>
    <w:rsid w:val="00070017"/>
    <w:rsid w:val="000746A3"/>
    <w:rsid w:val="0007598A"/>
    <w:rsid w:val="00075A99"/>
    <w:rsid w:val="000763A0"/>
    <w:rsid w:val="00085E5C"/>
    <w:rsid w:val="00087FAE"/>
    <w:rsid w:val="00090E85"/>
    <w:rsid w:val="000910C0"/>
    <w:rsid w:val="000951CA"/>
    <w:rsid w:val="00095635"/>
    <w:rsid w:val="00096A85"/>
    <w:rsid w:val="000A4EEF"/>
    <w:rsid w:val="000A7229"/>
    <w:rsid w:val="000B1CA3"/>
    <w:rsid w:val="000B6C8B"/>
    <w:rsid w:val="000C0909"/>
    <w:rsid w:val="000C0FDD"/>
    <w:rsid w:val="000C1FEE"/>
    <w:rsid w:val="000C25D8"/>
    <w:rsid w:val="000C2888"/>
    <w:rsid w:val="000C291D"/>
    <w:rsid w:val="000C4822"/>
    <w:rsid w:val="000D1433"/>
    <w:rsid w:val="000E2F43"/>
    <w:rsid w:val="000E3995"/>
    <w:rsid w:val="000E446F"/>
    <w:rsid w:val="000E5319"/>
    <w:rsid w:val="000E6F71"/>
    <w:rsid w:val="000E75F6"/>
    <w:rsid w:val="000F01F7"/>
    <w:rsid w:val="000F44D1"/>
    <w:rsid w:val="000F4D2F"/>
    <w:rsid w:val="000F50C7"/>
    <w:rsid w:val="000F5BC4"/>
    <w:rsid w:val="000F5F4B"/>
    <w:rsid w:val="0010020F"/>
    <w:rsid w:val="00104AA9"/>
    <w:rsid w:val="001055C1"/>
    <w:rsid w:val="00110654"/>
    <w:rsid w:val="00110A57"/>
    <w:rsid w:val="00112917"/>
    <w:rsid w:val="00113386"/>
    <w:rsid w:val="00113591"/>
    <w:rsid w:val="001168F0"/>
    <w:rsid w:val="001216F4"/>
    <w:rsid w:val="001217C9"/>
    <w:rsid w:val="00122D3B"/>
    <w:rsid w:val="00126141"/>
    <w:rsid w:val="00133946"/>
    <w:rsid w:val="00145B84"/>
    <w:rsid w:val="00152379"/>
    <w:rsid w:val="00156831"/>
    <w:rsid w:val="001608CB"/>
    <w:rsid w:val="0016583B"/>
    <w:rsid w:val="001673EE"/>
    <w:rsid w:val="001732A6"/>
    <w:rsid w:val="00174683"/>
    <w:rsid w:val="00174BEC"/>
    <w:rsid w:val="00176C01"/>
    <w:rsid w:val="001923FC"/>
    <w:rsid w:val="00192665"/>
    <w:rsid w:val="00192F18"/>
    <w:rsid w:val="00194DBC"/>
    <w:rsid w:val="001A1392"/>
    <w:rsid w:val="001A2525"/>
    <w:rsid w:val="001B1503"/>
    <w:rsid w:val="001B2015"/>
    <w:rsid w:val="001B3720"/>
    <w:rsid w:val="001B6020"/>
    <w:rsid w:val="001C1350"/>
    <w:rsid w:val="001C1BF4"/>
    <w:rsid w:val="001C2FFB"/>
    <w:rsid w:val="001D0BBA"/>
    <w:rsid w:val="001D0F28"/>
    <w:rsid w:val="001D1286"/>
    <w:rsid w:val="001D2024"/>
    <w:rsid w:val="001E09A5"/>
    <w:rsid w:val="001E14EC"/>
    <w:rsid w:val="001E1505"/>
    <w:rsid w:val="001E4BBC"/>
    <w:rsid w:val="001E5956"/>
    <w:rsid w:val="001E718F"/>
    <w:rsid w:val="001E73F4"/>
    <w:rsid w:val="001E774E"/>
    <w:rsid w:val="001F0EF4"/>
    <w:rsid w:val="001F29C7"/>
    <w:rsid w:val="001F765B"/>
    <w:rsid w:val="00201E0F"/>
    <w:rsid w:val="0020494B"/>
    <w:rsid w:val="00206D97"/>
    <w:rsid w:val="0020763A"/>
    <w:rsid w:val="002114A4"/>
    <w:rsid w:val="0021229A"/>
    <w:rsid w:val="00213874"/>
    <w:rsid w:val="00213F15"/>
    <w:rsid w:val="0021446B"/>
    <w:rsid w:val="00215C76"/>
    <w:rsid w:val="002212CE"/>
    <w:rsid w:val="002253CD"/>
    <w:rsid w:val="002258AB"/>
    <w:rsid w:val="00226359"/>
    <w:rsid w:val="0022696C"/>
    <w:rsid w:val="00226BE5"/>
    <w:rsid w:val="00227216"/>
    <w:rsid w:val="00227416"/>
    <w:rsid w:val="002302FE"/>
    <w:rsid w:val="002317B8"/>
    <w:rsid w:val="00242D9C"/>
    <w:rsid w:val="00242E4B"/>
    <w:rsid w:val="00243D98"/>
    <w:rsid w:val="00253D25"/>
    <w:rsid w:val="00254D69"/>
    <w:rsid w:val="00254F18"/>
    <w:rsid w:val="002603E3"/>
    <w:rsid w:val="0026241F"/>
    <w:rsid w:val="00262A6A"/>
    <w:rsid w:val="002634C3"/>
    <w:rsid w:val="00272B61"/>
    <w:rsid w:val="002776BC"/>
    <w:rsid w:val="00280175"/>
    <w:rsid w:val="00284589"/>
    <w:rsid w:val="00285023"/>
    <w:rsid w:val="002853F6"/>
    <w:rsid w:val="00286A4B"/>
    <w:rsid w:val="00291173"/>
    <w:rsid w:val="002916E8"/>
    <w:rsid w:val="00291889"/>
    <w:rsid w:val="00293914"/>
    <w:rsid w:val="0029426E"/>
    <w:rsid w:val="00295D10"/>
    <w:rsid w:val="00297102"/>
    <w:rsid w:val="00297BBA"/>
    <w:rsid w:val="002A5001"/>
    <w:rsid w:val="002B238B"/>
    <w:rsid w:val="002B46C5"/>
    <w:rsid w:val="002B5D4F"/>
    <w:rsid w:val="002B6FAB"/>
    <w:rsid w:val="002B766B"/>
    <w:rsid w:val="002C2669"/>
    <w:rsid w:val="002D70A5"/>
    <w:rsid w:val="002E0910"/>
    <w:rsid w:val="002E1A90"/>
    <w:rsid w:val="002E2E9A"/>
    <w:rsid w:val="002E4690"/>
    <w:rsid w:val="002E4BB4"/>
    <w:rsid w:val="002F0131"/>
    <w:rsid w:val="002F0560"/>
    <w:rsid w:val="002F0B0D"/>
    <w:rsid w:val="002F3F63"/>
    <w:rsid w:val="002F5829"/>
    <w:rsid w:val="002F6455"/>
    <w:rsid w:val="002F7A2B"/>
    <w:rsid w:val="00302A42"/>
    <w:rsid w:val="00302D6D"/>
    <w:rsid w:val="003047E2"/>
    <w:rsid w:val="00306B2D"/>
    <w:rsid w:val="0030769C"/>
    <w:rsid w:val="00307F43"/>
    <w:rsid w:val="00312EE7"/>
    <w:rsid w:val="0031507A"/>
    <w:rsid w:val="003213D6"/>
    <w:rsid w:val="00321D9A"/>
    <w:rsid w:val="00322EC0"/>
    <w:rsid w:val="0032372B"/>
    <w:rsid w:val="0033058C"/>
    <w:rsid w:val="00332E87"/>
    <w:rsid w:val="003358EB"/>
    <w:rsid w:val="003362D5"/>
    <w:rsid w:val="0033746A"/>
    <w:rsid w:val="00340186"/>
    <w:rsid w:val="003431E9"/>
    <w:rsid w:val="003518A7"/>
    <w:rsid w:val="00357DCD"/>
    <w:rsid w:val="00361B06"/>
    <w:rsid w:val="0036242C"/>
    <w:rsid w:val="00363271"/>
    <w:rsid w:val="003634BE"/>
    <w:rsid w:val="003641C4"/>
    <w:rsid w:val="003648EF"/>
    <w:rsid w:val="00365C10"/>
    <w:rsid w:val="00376567"/>
    <w:rsid w:val="0038018B"/>
    <w:rsid w:val="0038026E"/>
    <w:rsid w:val="00382A1D"/>
    <w:rsid w:val="00390ADB"/>
    <w:rsid w:val="003A5E2B"/>
    <w:rsid w:val="003B33F1"/>
    <w:rsid w:val="003B5A88"/>
    <w:rsid w:val="003B72F8"/>
    <w:rsid w:val="003C2992"/>
    <w:rsid w:val="003C5A0D"/>
    <w:rsid w:val="003C6BD7"/>
    <w:rsid w:val="003C7D2B"/>
    <w:rsid w:val="003D1A24"/>
    <w:rsid w:val="003D4876"/>
    <w:rsid w:val="003D48C8"/>
    <w:rsid w:val="003D4E23"/>
    <w:rsid w:val="003D563A"/>
    <w:rsid w:val="003D5A4A"/>
    <w:rsid w:val="003D7043"/>
    <w:rsid w:val="003E2137"/>
    <w:rsid w:val="003E2E9F"/>
    <w:rsid w:val="003E507E"/>
    <w:rsid w:val="003E73BA"/>
    <w:rsid w:val="003E7CCE"/>
    <w:rsid w:val="003F6ACF"/>
    <w:rsid w:val="003F6BEB"/>
    <w:rsid w:val="00401DD7"/>
    <w:rsid w:val="00403C75"/>
    <w:rsid w:val="0040727F"/>
    <w:rsid w:val="00412CD0"/>
    <w:rsid w:val="00414D53"/>
    <w:rsid w:val="004164E2"/>
    <w:rsid w:val="0042032D"/>
    <w:rsid w:val="004207A1"/>
    <w:rsid w:val="0042117E"/>
    <w:rsid w:val="00421C2A"/>
    <w:rsid w:val="00421F91"/>
    <w:rsid w:val="0042574F"/>
    <w:rsid w:val="0043544A"/>
    <w:rsid w:val="0044165E"/>
    <w:rsid w:val="00441773"/>
    <w:rsid w:val="00445343"/>
    <w:rsid w:val="00445BE8"/>
    <w:rsid w:val="00450BCB"/>
    <w:rsid w:val="004536FF"/>
    <w:rsid w:val="004551A5"/>
    <w:rsid w:val="004564F3"/>
    <w:rsid w:val="00461E32"/>
    <w:rsid w:val="0046228F"/>
    <w:rsid w:val="0047245D"/>
    <w:rsid w:val="00474491"/>
    <w:rsid w:val="0047705B"/>
    <w:rsid w:val="004770A5"/>
    <w:rsid w:val="0048005C"/>
    <w:rsid w:val="00487C04"/>
    <w:rsid w:val="00497346"/>
    <w:rsid w:val="004A3CDD"/>
    <w:rsid w:val="004A421B"/>
    <w:rsid w:val="004A669A"/>
    <w:rsid w:val="004B0189"/>
    <w:rsid w:val="004B25FE"/>
    <w:rsid w:val="004B57E4"/>
    <w:rsid w:val="004B6F22"/>
    <w:rsid w:val="004B7598"/>
    <w:rsid w:val="004C1453"/>
    <w:rsid w:val="004C3D63"/>
    <w:rsid w:val="004C5EAD"/>
    <w:rsid w:val="004C737B"/>
    <w:rsid w:val="004D18D1"/>
    <w:rsid w:val="004E11FA"/>
    <w:rsid w:val="004E2EFD"/>
    <w:rsid w:val="004F147C"/>
    <w:rsid w:val="004F22B0"/>
    <w:rsid w:val="004F2EAC"/>
    <w:rsid w:val="00500FC9"/>
    <w:rsid w:val="00505CD4"/>
    <w:rsid w:val="00506254"/>
    <w:rsid w:val="00506820"/>
    <w:rsid w:val="00507C97"/>
    <w:rsid w:val="00512508"/>
    <w:rsid w:val="0051308A"/>
    <w:rsid w:val="00516F46"/>
    <w:rsid w:val="0051757E"/>
    <w:rsid w:val="005204CE"/>
    <w:rsid w:val="00520C91"/>
    <w:rsid w:val="00521233"/>
    <w:rsid w:val="005219F2"/>
    <w:rsid w:val="00521A58"/>
    <w:rsid w:val="005226CD"/>
    <w:rsid w:val="00522F40"/>
    <w:rsid w:val="005251FB"/>
    <w:rsid w:val="0053029B"/>
    <w:rsid w:val="00530330"/>
    <w:rsid w:val="00535AE4"/>
    <w:rsid w:val="0053601E"/>
    <w:rsid w:val="005401D0"/>
    <w:rsid w:val="00540830"/>
    <w:rsid w:val="00541C38"/>
    <w:rsid w:val="0054340F"/>
    <w:rsid w:val="00543AA8"/>
    <w:rsid w:val="00547253"/>
    <w:rsid w:val="00551623"/>
    <w:rsid w:val="00551C21"/>
    <w:rsid w:val="0055208F"/>
    <w:rsid w:val="00554F9F"/>
    <w:rsid w:val="00563642"/>
    <w:rsid w:val="00566AA5"/>
    <w:rsid w:val="00566ACD"/>
    <w:rsid w:val="00567615"/>
    <w:rsid w:val="00567D3E"/>
    <w:rsid w:val="0057406A"/>
    <w:rsid w:val="005810B7"/>
    <w:rsid w:val="0058292E"/>
    <w:rsid w:val="00592265"/>
    <w:rsid w:val="005952C4"/>
    <w:rsid w:val="005A30EC"/>
    <w:rsid w:val="005A4848"/>
    <w:rsid w:val="005A6734"/>
    <w:rsid w:val="005B6600"/>
    <w:rsid w:val="005B703B"/>
    <w:rsid w:val="005C13ED"/>
    <w:rsid w:val="005C2F74"/>
    <w:rsid w:val="005C79A5"/>
    <w:rsid w:val="005D27F1"/>
    <w:rsid w:val="005D2C19"/>
    <w:rsid w:val="005E01E1"/>
    <w:rsid w:val="005E6A7E"/>
    <w:rsid w:val="005E73A0"/>
    <w:rsid w:val="005E7F6C"/>
    <w:rsid w:val="005F7B56"/>
    <w:rsid w:val="006077B3"/>
    <w:rsid w:val="006079B1"/>
    <w:rsid w:val="00610DCF"/>
    <w:rsid w:val="00611A1A"/>
    <w:rsid w:val="00612698"/>
    <w:rsid w:val="006172F7"/>
    <w:rsid w:val="00620A72"/>
    <w:rsid w:val="00622011"/>
    <w:rsid w:val="00622CDC"/>
    <w:rsid w:val="00625F5A"/>
    <w:rsid w:val="0063249F"/>
    <w:rsid w:val="00636B23"/>
    <w:rsid w:val="00637D09"/>
    <w:rsid w:val="006402CA"/>
    <w:rsid w:val="0064091B"/>
    <w:rsid w:val="00642287"/>
    <w:rsid w:val="00647CE1"/>
    <w:rsid w:val="006505A4"/>
    <w:rsid w:val="00651C4B"/>
    <w:rsid w:val="0065246F"/>
    <w:rsid w:val="006534AB"/>
    <w:rsid w:val="0065712F"/>
    <w:rsid w:val="00657A66"/>
    <w:rsid w:val="00657E8C"/>
    <w:rsid w:val="00662A54"/>
    <w:rsid w:val="006648D1"/>
    <w:rsid w:val="006711CD"/>
    <w:rsid w:val="00684114"/>
    <w:rsid w:val="0068433B"/>
    <w:rsid w:val="00685563"/>
    <w:rsid w:val="0068642E"/>
    <w:rsid w:val="00686855"/>
    <w:rsid w:val="00686DED"/>
    <w:rsid w:val="00687A45"/>
    <w:rsid w:val="006965EF"/>
    <w:rsid w:val="00696B76"/>
    <w:rsid w:val="006A1CAC"/>
    <w:rsid w:val="006A1F4E"/>
    <w:rsid w:val="006A2AE4"/>
    <w:rsid w:val="006A6BB9"/>
    <w:rsid w:val="006B0800"/>
    <w:rsid w:val="006B1367"/>
    <w:rsid w:val="006B549B"/>
    <w:rsid w:val="006B72F3"/>
    <w:rsid w:val="006C068D"/>
    <w:rsid w:val="006C06B7"/>
    <w:rsid w:val="006C0FED"/>
    <w:rsid w:val="006C2A0B"/>
    <w:rsid w:val="006C2FAA"/>
    <w:rsid w:val="006C7131"/>
    <w:rsid w:val="006D5D34"/>
    <w:rsid w:val="006D7738"/>
    <w:rsid w:val="006E140C"/>
    <w:rsid w:val="006E5742"/>
    <w:rsid w:val="006E588D"/>
    <w:rsid w:val="006E608C"/>
    <w:rsid w:val="006E669E"/>
    <w:rsid w:val="006F1D2B"/>
    <w:rsid w:val="006F4F6F"/>
    <w:rsid w:val="00700A01"/>
    <w:rsid w:val="00701C6A"/>
    <w:rsid w:val="00703767"/>
    <w:rsid w:val="0070706E"/>
    <w:rsid w:val="007074A1"/>
    <w:rsid w:val="00707E7B"/>
    <w:rsid w:val="00710121"/>
    <w:rsid w:val="00711B9E"/>
    <w:rsid w:val="0071340B"/>
    <w:rsid w:val="00714AF8"/>
    <w:rsid w:val="00722645"/>
    <w:rsid w:val="00725481"/>
    <w:rsid w:val="0072615B"/>
    <w:rsid w:val="007270FD"/>
    <w:rsid w:val="0072723A"/>
    <w:rsid w:val="007315BC"/>
    <w:rsid w:val="007338B9"/>
    <w:rsid w:val="00733DF3"/>
    <w:rsid w:val="007428BB"/>
    <w:rsid w:val="0075202D"/>
    <w:rsid w:val="00754551"/>
    <w:rsid w:val="00756CA7"/>
    <w:rsid w:val="00760886"/>
    <w:rsid w:val="00761F31"/>
    <w:rsid w:val="00765416"/>
    <w:rsid w:val="00775D0E"/>
    <w:rsid w:val="00775DE4"/>
    <w:rsid w:val="007824D2"/>
    <w:rsid w:val="007831FF"/>
    <w:rsid w:val="007847B2"/>
    <w:rsid w:val="00785102"/>
    <w:rsid w:val="007857ED"/>
    <w:rsid w:val="00785DB6"/>
    <w:rsid w:val="0079122E"/>
    <w:rsid w:val="00795BC3"/>
    <w:rsid w:val="007A005A"/>
    <w:rsid w:val="007A72D7"/>
    <w:rsid w:val="007A7746"/>
    <w:rsid w:val="007A7826"/>
    <w:rsid w:val="007A7C72"/>
    <w:rsid w:val="007B048C"/>
    <w:rsid w:val="007C04F4"/>
    <w:rsid w:val="007C3D5D"/>
    <w:rsid w:val="007C6072"/>
    <w:rsid w:val="007E09A6"/>
    <w:rsid w:val="007F2F7E"/>
    <w:rsid w:val="007F3CF9"/>
    <w:rsid w:val="007F519D"/>
    <w:rsid w:val="007F5A43"/>
    <w:rsid w:val="007F601F"/>
    <w:rsid w:val="0081209A"/>
    <w:rsid w:val="0082482C"/>
    <w:rsid w:val="00824AF5"/>
    <w:rsid w:val="00824B54"/>
    <w:rsid w:val="00833DC3"/>
    <w:rsid w:val="00841B39"/>
    <w:rsid w:val="00841C90"/>
    <w:rsid w:val="00845B83"/>
    <w:rsid w:val="0084615B"/>
    <w:rsid w:val="00846713"/>
    <w:rsid w:val="00851239"/>
    <w:rsid w:val="008538F0"/>
    <w:rsid w:val="0085447A"/>
    <w:rsid w:val="00854603"/>
    <w:rsid w:val="0085676C"/>
    <w:rsid w:val="00856D3E"/>
    <w:rsid w:val="00856E92"/>
    <w:rsid w:val="00860C4F"/>
    <w:rsid w:val="00861907"/>
    <w:rsid w:val="00861C3F"/>
    <w:rsid w:val="008626ED"/>
    <w:rsid w:val="008634AD"/>
    <w:rsid w:val="0086620A"/>
    <w:rsid w:val="0086757B"/>
    <w:rsid w:val="008716F4"/>
    <w:rsid w:val="0087250F"/>
    <w:rsid w:val="00873F62"/>
    <w:rsid w:val="00874780"/>
    <w:rsid w:val="00874F53"/>
    <w:rsid w:val="00877CB9"/>
    <w:rsid w:val="0088225D"/>
    <w:rsid w:val="008903FA"/>
    <w:rsid w:val="008971E7"/>
    <w:rsid w:val="008A2395"/>
    <w:rsid w:val="008A474C"/>
    <w:rsid w:val="008A57E5"/>
    <w:rsid w:val="008A5BF1"/>
    <w:rsid w:val="008A7418"/>
    <w:rsid w:val="008B09BC"/>
    <w:rsid w:val="008B1521"/>
    <w:rsid w:val="008B2750"/>
    <w:rsid w:val="008B5A30"/>
    <w:rsid w:val="008B60DC"/>
    <w:rsid w:val="008B6B12"/>
    <w:rsid w:val="008C73BA"/>
    <w:rsid w:val="008D164B"/>
    <w:rsid w:val="008D3A2F"/>
    <w:rsid w:val="008D549D"/>
    <w:rsid w:val="008D583C"/>
    <w:rsid w:val="008E1C99"/>
    <w:rsid w:val="008E5BFB"/>
    <w:rsid w:val="008E7689"/>
    <w:rsid w:val="008F5814"/>
    <w:rsid w:val="009004E6"/>
    <w:rsid w:val="00901CF6"/>
    <w:rsid w:val="0091110E"/>
    <w:rsid w:val="00912BEC"/>
    <w:rsid w:val="0091799D"/>
    <w:rsid w:val="00931E0F"/>
    <w:rsid w:val="00932B8D"/>
    <w:rsid w:val="00934BA8"/>
    <w:rsid w:val="00934E3F"/>
    <w:rsid w:val="00937007"/>
    <w:rsid w:val="00940145"/>
    <w:rsid w:val="00942D12"/>
    <w:rsid w:val="0094420E"/>
    <w:rsid w:val="009456BE"/>
    <w:rsid w:val="00950EA3"/>
    <w:rsid w:val="00951C4E"/>
    <w:rsid w:val="00956333"/>
    <w:rsid w:val="00956DB3"/>
    <w:rsid w:val="009622D2"/>
    <w:rsid w:val="00962510"/>
    <w:rsid w:val="00965318"/>
    <w:rsid w:val="0096620E"/>
    <w:rsid w:val="009729C5"/>
    <w:rsid w:val="00974692"/>
    <w:rsid w:val="009775D3"/>
    <w:rsid w:val="0097763B"/>
    <w:rsid w:val="00983B7F"/>
    <w:rsid w:val="009848EF"/>
    <w:rsid w:val="009856F5"/>
    <w:rsid w:val="00986D97"/>
    <w:rsid w:val="00996546"/>
    <w:rsid w:val="0099677A"/>
    <w:rsid w:val="00997105"/>
    <w:rsid w:val="00997357"/>
    <w:rsid w:val="00997C4F"/>
    <w:rsid w:val="009A1BA5"/>
    <w:rsid w:val="009A1DDB"/>
    <w:rsid w:val="009A38A1"/>
    <w:rsid w:val="009A549B"/>
    <w:rsid w:val="009A5ADA"/>
    <w:rsid w:val="009B08D6"/>
    <w:rsid w:val="009B1ADA"/>
    <w:rsid w:val="009B6080"/>
    <w:rsid w:val="009C3975"/>
    <w:rsid w:val="009C4D02"/>
    <w:rsid w:val="009C75DE"/>
    <w:rsid w:val="009D2CFB"/>
    <w:rsid w:val="009E39F2"/>
    <w:rsid w:val="009E53DB"/>
    <w:rsid w:val="009F3A51"/>
    <w:rsid w:val="009F5844"/>
    <w:rsid w:val="00A01370"/>
    <w:rsid w:val="00A016B7"/>
    <w:rsid w:val="00A01DC2"/>
    <w:rsid w:val="00A0261F"/>
    <w:rsid w:val="00A041A6"/>
    <w:rsid w:val="00A05602"/>
    <w:rsid w:val="00A102F0"/>
    <w:rsid w:val="00A13C23"/>
    <w:rsid w:val="00A20E7C"/>
    <w:rsid w:val="00A26392"/>
    <w:rsid w:val="00A265EF"/>
    <w:rsid w:val="00A26D94"/>
    <w:rsid w:val="00A35CB1"/>
    <w:rsid w:val="00A467E9"/>
    <w:rsid w:val="00A619BC"/>
    <w:rsid w:val="00A64373"/>
    <w:rsid w:val="00A71B33"/>
    <w:rsid w:val="00A7351C"/>
    <w:rsid w:val="00A7791B"/>
    <w:rsid w:val="00A86271"/>
    <w:rsid w:val="00A90141"/>
    <w:rsid w:val="00A90460"/>
    <w:rsid w:val="00A91ABF"/>
    <w:rsid w:val="00A9337E"/>
    <w:rsid w:val="00A93E3F"/>
    <w:rsid w:val="00A94246"/>
    <w:rsid w:val="00AB0574"/>
    <w:rsid w:val="00AB10DF"/>
    <w:rsid w:val="00AB1D6C"/>
    <w:rsid w:val="00AB4E5E"/>
    <w:rsid w:val="00AB7597"/>
    <w:rsid w:val="00AB7716"/>
    <w:rsid w:val="00AC0BB7"/>
    <w:rsid w:val="00AC43AE"/>
    <w:rsid w:val="00AD3AD0"/>
    <w:rsid w:val="00AD72B8"/>
    <w:rsid w:val="00AD7703"/>
    <w:rsid w:val="00AD79DF"/>
    <w:rsid w:val="00AE16BF"/>
    <w:rsid w:val="00AE357C"/>
    <w:rsid w:val="00AE447F"/>
    <w:rsid w:val="00AE5901"/>
    <w:rsid w:val="00AE614D"/>
    <w:rsid w:val="00AE78BC"/>
    <w:rsid w:val="00AF4792"/>
    <w:rsid w:val="00B022B1"/>
    <w:rsid w:val="00B1231B"/>
    <w:rsid w:val="00B124F3"/>
    <w:rsid w:val="00B16093"/>
    <w:rsid w:val="00B16CD3"/>
    <w:rsid w:val="00B21682"/>
    <w:rsid w:val="00B24097"/>
    <w:rsid w:val="00B27D8E"/>
    <w:rsid w:val="00B31D9C"/>
    <w:rsid w:val="00B31E8A"/>
    <w:rsid w:val="00B327AE"/>
    <w:rsid w:val="00B3287C"/>
    <w:rsid w:val="00B405D2"/>
    <w:rsid w:val="00B423C3"/>
    <w:rsid w:val="00B4264C"/>
    <w:rsid w:val="00B4330B"/>
    <w:rsid w:val="00B440A5"/>
    <w:rsid w:val="00B44B6F"/>
    <w:rsid w:val="00B47DDB"/>
    <w:rsid w:val="00B52C8E"/>
    <w:rsid w:val="00B5775A"/>
    <w:rsid w:val="00B602E7"/>
    <w:rsid w:val="00B61D11"/>
    <w:rsid w:val="00B645E6"/>
    <w:rsid w:val="00B678BC"/>
    <w:rsid w:val="00B727B5"/>
    <w:rsid w:val="00B72DB8"/>
    <w:rsid w:val="00B74442"/>
    <w:rsid w:val="00B75570"/>
    <w:rsid w:val="00B77076"/>
    <w:rsid w:val="00B77844"/>
    <w:rsid w:val="00B80972"/>
    <w:rsid w:val="00B80F50"/>
    <w:rsid w:val="00B83036"/>
    <w:rsid w:val="00B836FD"/>
    <w:rsid w:val="00B84D26"/>
    <w:rsid w:val="00B9325B"/>
    <w:rsid w:val="00B96547"/>
    <w:rsid w:val="00BA0C61"/>
    <w:rsid w:val="00BA4B41"/>
    <w:rsid w:val="00BA77AB"/>
    <w:rsid w:val="00BB0A60"/>
    <w:rsid w:val="00BB269A"/>
    <w:rsid w:val="00BC07B8"/>
    <w:rsid w:val="00BC2B63"/>
    <w:rsid w:val="00BC5973"/>
    <w:rsid w:val="00BC7DB1"/>
    <w:rsid w:val="00BD4071"/>
    <w:rsid w:val="00BD45C5"/>
    <w:rsid w:val="00BD5A36"/>
    <w:rsid w:val="00BD7EED"/>
    <w:rsid w:val="00BE11B6"/>
    <w:rsid w:val="00BE1CA0"/>
    <w:rsid w:val="00BE281E"/>
    <w:rsid w:val="00BE4B40"/>
    <w:rsid w:val="00BE7956"/>
    <w:rsid w:val="00BF3EFC"/>
    <w:rsid w:val="00BF5835"/>
    <w:rsid w:val="00BF6793"/>
    <w:rsid w:val="00BF6D74"/>
    <w:rsid w:val="00BF7B39"/>
    <w:rsid w:val="00C01D4D"/>
    <w:rsid w:val="00C05F00"/>
    <w:rsid w:val="00C063A8"/>
    <w:rsid w:val="00C07F53"/>
    <w:rsid w:val="00C111F8"/>
    <w:rsid w:val="00C23B7F"/>
    <w:rsid w:val="00C23EFB"/>
    <w:rsid w:val="00C256E4"/>
    <w:rsid w:val="00C25D7B"/>
    <w:rsid w:val="00C26189"/>
    <w:rsid w:val="00C26945"/>
    <w:rsid w:val="00C30609"/>
    <w:rsid w:val="00C344FE"/>
    <w:rsid w:val="00C36DE1"/>
    <w:rsid w:val="00C409D6"/>
    <w:rsid w:val="00C40D70"/>
    <w:rsid w:val="00C46B3B"/>
    <w:rsid w:val="00C47791"/>
    <w:rsid w:val="00C5154F"/>
    <w:rsid w:val="00C5167F"/>
    <w:rsid w:val="00C53133"/>
    <w:rsid w:val="00C568BA"/>
    <w:rsid w:val="00C61879"/>
    <w:rsid w:val="00C71576"/>
    <w:rsid w:val="00C74D97"/>
    <w:rsid w:val="00C77C55"/>
    <w:rsid w:val="00C80689"/>
    <w:rsid w:val="00C84D02"/>
    <w:rsid w:val="00C95C1A"/>
    <w:rsid w:val="00C97FA1"/>
    <w:rsid w:val="00CA0CF9"/>
    <w:rsid w:val="00CA19CC"/>
    <w:rsid w:val="00CA351D"/>
    <w:rsid w:val="00CA417A"/>
    <w:rsid w:val="00CA58BB"/>
    <w:rsid w:val="00CB0D55"/>
    <w:rsid w:val="00CB117A"/>
    <w:rsid w:val="00CB1F6D"/>
    <w:rsid w:val="00CB58D0"/>
    <w:rsid w:val="00CC6536"/>
    <w:rsid w:val="00CC6FAF"/>
    <w:rsid w:val="00CC7CD2"/>
    <w:rsid w:val="00CD45A4"/>
    <w:rsid w:val="00CD7474"/>
    <w:rsid w:val="00CD74E7"/>
    <w:rsid w:val="00CE5949"/>
    <w:rsid w:val="00CE6471"/>
    <w:rsid w:val="00CF1EF9"/>
    <w:rsid w:val="00CF6E67"/>
    <w:rsid w:val="00D02FEF"/>
    <w:rsid w:val="00D05280"/>
    <w:rsid w:val="00D05F0A"/>
    <w:rsid w:val="00D062AF"/>
    <w:rsid w:val="00D12CDF"/>
    <w:rsid w:val="00D133FC"/>
    <w:rsid w:val="00D14692"/>
    <w:rsid w:val="00D16EBC"/>
    <w:rsid w:val="00D17161"/>
    <w:rsid w:val="00D2496F"/>
    <w:rsid w:val="00D25B48"/>
    <w:rsid w:val="00D32410"/>
    <w:rsid w:val="00D41BBE"/>
    <w:rsid w:val="00D43227"/>
    <w:rsid w:val="00D43B7F"/>
    <w:rsid w:val="00D456D6"/>
    <w:rsid w:val="00D46040"/>
    <w:rsid w:val="00D47872"/>
    <w:rsid w:val="00D500BD"/>
    <w:rsid w:val="00D61413"/>
    <w:rsid w:val="00D63B03"/>
    <w:rsid w:val="00D65AF2"/>
    <w:rsid w:val="00D73DB6"/>
    <w:rsid w:val="00D818E0"/>
    <w:rsid w:val="00D821CA"/>
    <w:rsid w:val="00D8261B"/>
    <w:rsid w:val="00D82CEE"/>
    <w:rsid w:val="00D8352D"/>
    <w:rsid w:val="00D85139"/>
    <w:rsid w:val="00D8561A"/>
    <w:rsid w:val="00D86C5E"/>
    <w:rsid w:val="00D87278"/>
    <w:rsid w:val="00D87A14"/>
    <w:rsid w:val="00D94989"/>
    <w:rsid w:val="00D9590C"/>
    <w:rsid w:val="00D97900"/>
    <w:rsid w:val="00DA0CB4"/>
    <w:rsid w:val="00DA6FAC"/>
    <w:rsid w:val="00DB0720"/>
    <w:rsid w:val="00DB78F0"/>
    <w:rsid w:val="00DC2B08"/>
    <w:rsid w:val="00DC2F5D"/>
    <w:rsid w:val="00DC5144"/>
    <w:rsid w:val="00DC6741"/>
    <w:rsid w:val="00DC6C0C"/>
    <w:rsid w:val="00DD180D"/>
    <w:rsid w:val="00DD7302"/>
    <w:rsid w:val="00DD7816"/>
    <w:rsid w:val="00DD7AFF"/>
    <w:rsid w:val="00DD7E9E"/>
    <w:rsid w:val="00DE0556"/>
    <w:rsid w:val="00DE1133"/>
    <w:rsid w:val="00DE3FD6"/>
    <w:rsid w:val="00DE585E"/>
    <w:rsid w:val="00DE7797"/>
    <w:rsid w:val="00DF25B6"/>
    <w:rsid w:val="00DF2B60"/>
    <w:rsid w:val="00DF3E2E"/>
    <w:rsid w:val="00DF4DE0"/>
    <w:rsid w:val="00DF4FA2"/>
    <w:rsid w:val="00DF5CDE"/>
    <w:rsid w:val="00E01A78"/>
    <w:rsid w:val="00E05321"/>
    <w:rsid w:val="00E05E08"/>
    <w:rsid w:val="00E07B9F"/>
    <w:rsid w:val="00E236BB"/>
    <w:rsid w:val="00E23805"/>
    <w:rsid w:val="00E24FB5"/>
    <w:rsid w:val="00E26945"/>
    <w:rsid w:val="00E278A9"/>
    <w:rsid w:val="00E363C2"/>
    <w:rsid w:val="00E373DE"/>
    <w:rsid w:val="00E40BE4"/>
    <w:rsid w:val="00E43FAF"/>
    <w:rsid w:val="00E46520"/>
    <w:rsid w:val="00E5221E"/>
    <w:rsid w:val="00E53E8D"/>
    <w:rsid w:val="00E56E6A"/>
    <w:rsid w:val="00E6336E"/>
    <w:rsid w:val="00E673BC"/>
    <w:rsid w:val="00E70751"/>
    <w:rsid w:val="00E7161D"/>
    <w:rsid w:val="00E72E08"/>
    <w:rsid w:val="00E75E78"/>
    <w:rsid w:val="00E76D98"/>
    <w:rsid w:val="00E87276"/>
    <w:rsid w:val="00E97B94"/>
    <w:rsid w:val="00EA039E"/>
    <w:rsid w:val="00EA19B7"/>
    <w:rsid w:val="00EB1135"/>
    <w:rsid w:val="00EB3495"/>
    <w:rsid w:val="00EB5AB7"/>
    <w:rsid w:val="00EC0A42"/>
    <w:rsid w:val="00EC5906"/>
    <w:rsid w:val="00EC593D"/>
    <w:rsid w:val="00EC6BE7"/>
    <w:rsid w:val="00EC6CC4"/>
    <w:rsid w:val="00ED0B6A"/>
    <w:rsid w:val="00ED1FA2"/>
    <w:rsid w:val="00ED24BE"/>
    <w:rsid w:val="00ED2D78"/>
    <w:rsid w:val="00ED3472"/>
    <w:rsid w:val="00ED5CD0"/>
    <w:rsid w:val="00EE136E"/>
    <w:rsid w:val="00EE41A6"/>
    <w:rsid w:val="00EE5E14"/>
    <w:rsid w:val="00EF03EF"/>
    <w:rsid w:val="00EF147E"/>
    <w:rsid w:val="00EF210A"/>
    <w:rsid w:val="00EF3483"/>
    <w:rsid w:val="00EF4773"/>
    <w:rsid w:val="00EF6493"/>
    <w:rsid w:val="00EF7E17"/>
    <w:rsid w:val="00F0085A"/>
    <w:rsid w:val="00F01F91"/>
    <w:rsid w:val="00F02960"/>
    <w:rsid w:val="00F04852"/>
    <w:rsid w:val="00F07CB6"/>
    <w:rsid w:val="00F07D0A"/>
    <w:rsid w:val="00F110EF"/>
    <w:rsid w:val="00F119DB"/>
    <w:rsid w:val="00F15B5E"/>
    <w:rsid w:val="00F16153"/>
    <w:rsid w:val="00F17423"/>
    <w:rsid w:val="00F22D9A"/>
    <w:rsid w:val="00F24FB5"/>
    <w:rsid w:val="00F264FE"/>
    <w:rsid w:val="00F2699C"/>
    <w:rsid w:val="00F31ED6"/>
    <w:rsid w:val="00F32D94"/>
    <w:rsid w:val="00F3594C"/>
    <w:rsid w:val="00F360A7"/>
    <w:rsid w:val="00F36B16"/>
    <w:rsid w:val="00F40594"/>
    <w:rsid w:val="00F4229C"/>
    <w:rsid w:val="00F42839"/>
    <w:rsid w:val="00F45C3C"/>
    <w:rsid w:val="00F46C75"/>
    <w:rsid w:val="00F50EF3"/>
    <w:rsid w:val="00F512F2"/>
    <w:rsid w:val="00F516FA"/>
    <w:rsid w:val="00F55DE8"/>
    <w:rsid w:val="00F617CA"/>
    <w:rsid w:val="00F624B2"/>
    <w:rsid w:val="00F659F1"/>
    <w:rsid w:val="00F65C60"/>
    <w:rsid w:val="00F66418"/>
    <w:rsid w:val="00F66807"/>
    <w:rsid w:val="00F72F02"/>
    <w:rsid w:val="00F75192"/>
    <w:rsid w:val="00F75764"/>
    <w:rsid w:val="00F817C2"/>
    <w:rsid w:val="00F81AC4"/>
    <w:rsid w:val="00F8384C"/>
    <w:rsid w:val="00F84819"/>
    <w:rsid w:val="00F857A2"/>
    <w:rsid w:val="00F96E84"/>
    <w:rsid w:val="00FA1803"/>
    <w:rsid w:val="00FA4AD9"/>
    <w:rsid w:val="00FB2086"/>
    <w:rsid w:val="00FB4589"/>
    <w:rsid w:val="00FB54C4"/>
    <w:rsid w:val="00FB54F7"/>
    <w:rsid w:val="00FB659F"/>
    <w:rsid w:val="00FB6875"/>
    <w:rsid w:val="00FB6E2D"/>
    <w:rsid w:val="00FC0F67"/>
    <w:rsid w:val="00FC1212"/>
    <w:rsid w:val="00FD0E54"/>
    <w:rsid w:val="00FD7743"/>
    <w:rsid w:val="00FD7BA6"/>
    <w:rsid w:val="00FE0779"/>
    <w:rsid w:val="00FE26B8"/>
    <w:rsid w:val="00FE2DB6"/>
    <w:rsid w:val="00FF0551"/>
    <w:rsid w:val="01902F9A"/>
    <w:rsid w:val="01AA1193"/>
    <w:rsid w:val="01B87F15"/>
    <w:rsid w:val="04EA1220"/>
    <w:rsid w:val="050729EE"/>
    <w:rsid w:val="05867D23"/>
    <w:rsid w:val="0B735B06"/>
    <w:rsid w:val="0D890310"/>
    <w:rsid w:val="0EC51CF1"/>
    <w:rsid w:val="0ECF9C51"/>
    <w:rsid w:val="0FC655CA"/>
    <w:rsid w:val="10240C99"/>
    <w:rsid w:val="10376C1E"/>
    <w:rsid w:val="10A844BB"/>
    <w:rsid w:val="15853F88"/>
    <w:rsid w:val="160C6457"/>
    <w:rsid w:val="181C1F65"/>
    <w:rsid w:val="18BB4304"/>
    <w:rsid w:val="18FE652B"/>
    <w:rsid w:val="1A3766A7"/>
    <w:rsid w:val="1B244243"/>
    <w:rsid w:val="1C060510"/>
    <w:rsid w:val="1D644DCB"/>
    <w:rsid w:val="1D884F5D"/>
    <w:rsid w:val="1E080442"/>
    <w:rsid w:val="1F176005"/>
    <w:rsid w:val="1F332123"/>
    <w:rsid w:val="22BE22DF"/>
    <w:rsid w:val="22DB168B"/>
    <w:rsid w:val="22EA2B99"/>
    <w:rsid w:val="2339170E"/>
    <w:rsid w:val="240A0880"/>
    <w:rsid w:val="24B57D8B"/>
    <w:rsid w:val="25BC57A4"/>
    <w:rsid w:val="27A209C9"/>
    <w:rsid w:val="29742E41"/>
    <w:rsid w:val="29D87A35"/>
    <w:rsid w:val="2C915FBD"/>
    <w:rsid w:val="2D265BF9"/>
    <w:rsid w:val="2D2C1584"/>
    <w:rsid w:val="2D630BFB"/>
    <w:rsid w:val="2DBB27E5"/>
    <w:rsid w:val="2E556FCC"/>
    <w:rsid w:val="2F5042EA"/>
    <w:rsid w:val="30E67B79"/>
    <w:rsid w:val="31A83080"/>
    <w:rsid w:val="32DA195F"/>
    <w:rsid w:val="337E053C"/>
    <w:rsid w:val="340D0EAD"/>
    <w:rsid w:val="343B35D3"/>
    <w:rsid w:val="352D221A"/>
    <w:rsid w:val="35E5067E"/>
    <w:rsid w:val="35F745D6"/>
    <w:rsid w:val="362D1D44"/>
    <w:rsid w:val="37173543"/>
    <w:rsid w:val="37704640"/>
    <w:rsid w:val="37E66402"/>
    <w:rsid w:val="37FE7E9E"/>
    <w:rsid w:val="3D22462E"/>
    <w:rsid w:val="3F991334"/>
    <w:rsid w:val="3FF76880"/>
    <w:rsid w:val="400B21AB"/>
    <w:rsid w:val="40B00C12"/>
    <w:rsid w:val="41AA7574"/>
    <w:rsid w:val="41F8770C"/>
    <w:rsid w:val="42B441A5"/>
    <w:rsid w:val="4322138A"/>
    <w:rsid w:val="45132AAF"/>
    <w:rsid w:val="482E51ED"/>
    <w:rsid w:val="490B4CB5"/>
    <w:rsid w:val="49532B7D"/>
    <w:rsid w:val="49A14B2D"/>
    <w:rsid w:val="4A2826E7"/>
    <w:rsid w:val="4ADA6548"/>
    <w:rsid w:val="4B7047B7"/>
    <w:rsid w:val="4B9656D2"/>
    <w:rsid w:val="4BE56F53"/>
    <w:rsid w:val="4C226976"/>
    <w:rsid w:val="4C6A60A7"/>
    <w:rsid w:val="4C8C1F62"/>
    <w:rsid w:val="4CA7245A"/>
    <w:rsid w:val="4DB438F6"/>
    <w:rsid w:val="5015592D"/>
    <w:rsid w:val="50953002"/>
    <w:rsid w:val="5099030C"/>
    <w:rsid w:val="521A3F55"/>
    <w:rsid w:val="5254506D"/>
    <w:rsid w:val="52D703ED"/>
    <w:rsid w:val="533C1E10"/>
    <w:rsid w:val="53EB40C4"/>
    <w:rsid w:val="550B5550"/>
    <w:rsid w:val="5517171E"/>
    <w:rsid w:val="5558352D"/>
    <w:rsid w:val="55882629"/>
    <w:rsid w:val="566E5D97"/>
    <w:rsid w:val="569A2028"/>
    <w:rsid w:val="56C21DFB"/>
    <w:rsid w:val="5876553D"/>
    <w:rsid w:val="5B284B59"/>
    <w:rsid w:val="5C567A90"/>
    <w:rsid w:val="5CB12EBC"/>
    <w:rsid w:val="5D76020A"/>
    <w:rsid w:val="5DF71C2A"/>
    <w:rsid w:val="5E5C149E"/>
    <w:rsid w:val="5E714CE5"/>
    <w:rsid w:val="5F2621A2"/>
    <w:rsid w:val="61504A17"/>
    <w:rsid w:val="61AE798F"/>
    <w:rsid w:val="6232236E"/>
    <w:rsid w:val="660F75AE"/>
    <w:rsid w:val="66C96488"/>
    <w:rsid w:val="66E63727"/>
    <w:rsid w:val="6718660F"/>
    <w:rsid w:val="67B5539F"/>
    <w:rsid w:val="68D91796"/>
    <w:rsid w:val="6A2F6364"/>
    <w:rsid w:val="6A640364"/>
    <w:rsid w:val="6CFE33BF"/>
    <w:rsid w:val="6E2229DE"/>
    <w:rsid w:val="6F934EE2"/>
    <w:rsid w:val="6FB022BE"/>
    <w:rsid w:val="6FF4E41B"/>
    <w:rsid w:val="71DB5FF0"/>
    <w:rsid w:val="72964253"/>
    <w:rsid w:val="745A5E80"/>
    <w:rsid w:val="74640AAD"/>
    <w:rsid w:val="751853F4"/>
    <w:rsid w:val="75DC333C"/>
    <w:rsid w:val="768371E5"/>
    <w:rsid w:val="76901570"/>
    <w:rsid w:val="77065E4C"/>
    <w:rsid w:val="773E2AC2"/>
    <w:rsid w:val="77947ACA"/>
    <w:rsid w:val="79944110"/>
    <w:rsid w:val="79C61785"/>
    <w:rsid w:val="7AB7FF50"/>
    <w:rsid w:val="7B58479C"/>
    <w:rsid w:val="7BDC717B"/>
    <w:rsid w:val="7BFEB0DB"/>
    <w:rsid w:val="7ECE03DE"/>
    <w:rsid w:val="7F460DAF"/>
    <w:rsid w:val="7FFF3306"/>
    <w:rsid w:val="C36F37B1"/>
    <w:rsid w:val="CEFD3F3D"/>
    <w:rsid w:val="EA3F77F2"/>
    <w:rsid w:val="EEFE5989"/>
    <w:rsid w:val="EFCF3EAE"/>
    <w:rsid w:val="F5B764A2"/>
    <w:rsid w:val="F77F09F4"/>
    <w:rsid w:val="FEDB5406"/>
    <w:rsid w:val="FFD7BFFC"/>
    <w:rsid w:val="FFFF3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cs="Times New Roman"/>
      <w:sz w:val="20"/>
      <w:szCs w:val="20"/>
    </w:rPr>
    <w:tblPr>
      <w:tblCellMar>
        <w:top w:w="0" w:type="dxa"/>
        <w:left w:w="108" w:type="dxa"/>
        <w:bottom w:w="0" w:type="dxa"/>
        <w:right w:w="108" w:type="dxa"/>
      </w:tblCellMar>
    </w:tblPr>
  </w:style>
  <w:style w:type="paragraph" w:styleId="3">
    <w:name w:val="annotation text"/>
    <w:basedOn w:val="1"/>
    <w:link w:val="27"/>
    <w:qFormat/>
    <w:uiPriority w:val="0"/>
    <w:pPr>
      <w:jc w:val="left"/>
    </w:pPr>
    <w:rPr>
      <w:szCs w:val="24"/>
    </w:rPr>
  </w:style>
  <w:style w:type="paragraph" w:styleId="4">
    <w:name w:val="Body Text"/>
    <w:basedOn w:val="1"/>
    <w:link w:val="29"/>
    <w:qFormat/>
    <w:uiPriority w:val="99"/>
    <w:rPr>
      <w:rFonts w:eastAsia="仿宋_GB2312" w:asciiTheme="minorHAnsi" w:hAnsiTheme="minorHAnsi" w:cstheme="minorBidi"/>
      <w:sz w:val="24"/>
      <w:szCs w:val="20"/>
    </w:rPr>
  </w:style>
  <w:style w:type="paragraph" w:styleId="5">
    <w:name w:val="toc 3"/>
    <w:basedOn w:val="1"/>
    <w:next w:val="1"/>
    <w:qFormat/>
    <w:uiPriority w:val="39"/>
    <w:pPr>
      <w:ind w:left="840" w:leftChars="400"/>
    </w:pPr>
    <w:rPr>
      <w:szCs w:val="24"/>
    </w:rPr>
  </w:style>
  <w:style w:type="paragraph" w:styleId="6">
    <w:name w:val="Plain Text"/>
    <w:basedOn w:val="1"/>
    <w:link w:val="25"/>
    <w:qFormat/>
    <w:uiPriority w:val="0"/>
    <w:rPr>
      <w:rFonts w:ascii="宋体" w:hAnsi="Courier New" w:cs="Courier New"/>
    </w:rPr>
  </w:style>
  <w:style w:type="paragraph" w:styleId="7">
    <w:name w:val="Balloon Text"/>
    <w:basedOn w:val="1"/>
    <w:link w:val="33"/>
    <w:qFormat/>
    <w:uiPriority w:val="0"/>
    <w:rPr>
      <w:sz w:val="18"/>
      <w:szCs w:val="18"/>
    </w:rPr>
  </w:style>
  <w:style w:type="paragraph" w:styleId="8">
    <w:name w:val="footer"/>
    <w:basedOn w:val="1"/>
    <w:link w:val="31"/>
    <w:qFormat/>
    <w:uiPriority w:val="99"/>
    <w:pPr>
      <w:tabs>
        <w:tab w:val="center" w:pos="4153"/>
        <w:tab w:val="right" w:pos="8306"/>
      </w:tabs>
      <w:snapToGrid w:val="0"/>
      <w:jc w:val="left"/>
    </w:pPr>
    <w:rPr>
      <w:sz w:val="18"/>
      <w:szCs w:val="20"/>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24"/>
    </w:rPr>
  </w:style>
  <w:style w:type="paragraph" w:styleId="10">
    <w:name w:val="toc 1"/>
    <w:basedOn w:val="1"/>
    <w:next w:val="1"/>
    <w:qFormat/>
    <w:uiPriority w:val="39"/>
    <w:rPr>
      <w:szCs w:val="24"/>
    </w:rPr>
  </w:style>
  <w:style w:type="paragraph" w:styleId="11">
    <w:name w:val="footnote text"/>
    <w:basedOn w:val="1"/>
    <w:link w:val="23"/>
    <w:qFormat/>
    <w:uiPriority w:val="0"/>
    <w:pPr>
      <w:snapToGrid w:val="0"/>
      <w:jc w:val="left"/>
    </w:pPr>
    <w:rPr>
      <w:sz w:val="18"/>
      <w:szCs w:val="18"/>
    </w:rPr>
  </w:style>
  <w:style w:type="paragraph" w:styleId="12">
    <w:name w:val="toc 2"/>
    <w:basedOn w:val="1"/>
    <w:next w:val="1"/>
    <w:qFormat/>
    <w:uiPriority w:val="39"/>
    <w:pPr>
      <w:ind w:left="420" w:leftChars="200"/>
    </w:pPr>
    <w:rPr>
      <w:szCs w:val="24"/>
    </w:rPr>
  </w:style>
  <w:style w:type="paragraph" w:styleId="13">
    <w:name w:val="Normal (Web)"/>
    <w:basedOn w:val="1"/>
    <w:qFormat/>
    <w:uiPriority w:val="0"/>
    <w:rPr>
      <w:sz w:val="24"/>
    </w:rPr>
  </w:style>
  <w:style w:type="paragraph" w:styleId="14">
    <w:name w:val="annotation subject"/>
    <w:basedOn w:val="3"/>
    <w:next w:val="3"/>
    <w:link w:val="28"/>
    <w:qFormat/>
    <w:uiPriority w:val="0"/>
    <w:rPr>
      <w:b/>
      <w:bCs/>
    </w:rPr>
  </w:style>
  <w:style w:type="table" w:styleId="16">
    <w:name w:val="Table Grid"/>
    <w:basedOn w:val="1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qFormat/>
    <w:uiPriority w:val="0"/>
    <w:rPr>
      <w:sz w:val="21"/>
      <w:szCs w:val="21"/>
    </w:rPr>
  </w:style>
  <w:style w:type="character" w:styleId="21">
    <w:name w:val="footnote reference"/>
    <w:unhideWhenUsed/>
    <w:qFormat/>
    <w:uiPriority w:val="99"/>
    <w:rPr>
      <w:vertAlign w:val="superscript"/>
    </w:rPr>
  </w:style>
  <w:style w:type="paragraph" w:customStyle="1" w:styleId="22">
    <w:name w:val="列出段落1"/>
    <w:basedOn w:val="1"/>
    <w:qFormat/>
    <w:uiPriority w:val="34"/>
    <w:pPr>
      <w:ind w:firstLine="420" w:firstLineChars="200"/>
    </w:pPr>
    <w:rPr>
      <w:rFonts w:ascii="Calibri" w:hAnsi="Calibri" w:cs="黑体"/>
      <w:szCs w:val="22"/>
    </w:rPr>
  </w:style>
  <w:style w:type="character" w:customStyle="1" w:styleId="23">
    <w:name w:val="脚注文本 字符"/>
    <w:basedOn w:val="17"/>
    <w:link w:val="11"/>
    <w:qFormat/>
    <w:uiPriority w:val="0"/>
    <w:rPr>
      <w:rFonts w:ascii="Times New Roman" w:hAnsi="Times New Roman" w:eastAsia="宋体" w:cs="Times New Roman"/>
      <w:kern w:val="2"/>
      <w:sz w:val="18"/>
      <w:szCs w:val="18"/>
    </w:rPr>
  </w:style>
  <w:style w:type="paragraph" w:styleId="24">
    <w:name w:val="List Paragraph"/>
    <w:basedOn w:val="1"/>
    <w:qFormat/>
    <w:uiPriority w:val="99"/>
    <w:pPr>
      <w:ind w:firstLine="420" w:firstLineChars="200"/>
    </w:pPr>
    <w:rPr>
      <w:rFonts w:eastAsia="仿宋_GB2312" w:cstheme="minorBidi"/>
      <w:sz w:val="30"/>
      <w:szCs w:val="24"/>
    </w:rPr>
  </w:style>
  <w:style w:type="character" w:customStyle="1" w:styleId="25">
    <w:name w:val="纯文本 字符"/>
    <w:link w:val="6"/>
    <w:qFormat/>
    <w:locked/>
    <w:uiPriority w:val="0"/>
    <w:rPr>
      <w:rFonts w:ascii="宋体" w:hAnsi="Courier New" w:eastAsia="宋体" w:cs="Courier New"/>
      <w:kern w:val="2"/>
      <w:sz w:val="21"/>
      <w:szCs w:val="21"/>
    </w:rPr>
  </w:style>
  <w:style w:type="character" w:customStyle="1" w:styleId="26">
    <w:name w:val="纯文本 字符1"/>
    <w:basedOn w:val="17"/>
    <w:qFormat/>
    <w:uiPriority w:val="0"/>
    <w:rPr>
      <w:rFonts w:hAnsi="Courier New" w:cs="Courier New" w:asciiTheme="minorEastAsia"/>
      <w:kern w:val="2"/>
      <w:sz w:val="21"/>
      <w:szCs w:val="24"/>
    </w:rPr>
  </w:style>
  <w:style w:type="character" w:customStyle="1" w:styleId="27">
    <w:name w:val="批注文字 字符"/>
    <w:basedOn w:val="17"/>
    <w:link w:val="3"/>
    <w:qFormat/>
    <w:uiPriority w:val="0"/>
    <w:rPr>
      <w:rFonts w:ascii="Times New Roman" w:hAnsi="Times New Roman" w:eastAsia="宋体" w:cs="Times New Roman"/>
      <w:kern w:val="2"/>
      <w:sz w:val="21"/>
      <w:szCs w:val="24"/>
    </w:rPr>
  </w:style>
  <w:style w:type="character" w:customStyle="1" w:styleId="28">
    <w:name w:val="批注主题 字符"/>
    <w:basedOn w:val="27"/>
    <w:link w:val="14"/>
    <w:qFormat/>
    <w:uiPriority w:val="0"/>
    <w:rPr>
      <w:rFonts w:ascii="Times New Roman" w:hAnsi="Times New Roman" w:eastAsia="宋体" w:cs="Times New Roman"/>
      <w:b/>
      <w:bCs/>
      <w:kern w:val="2"/>
      <w:sz w:val="21"/>
      <w:szCs w:val="24"/>
    </w:rPr>
  </w:style>
  <w:style w:type="character" w:customStyle="1" w:styleId="29">
    <w:name w:val="正文文本 字符"/>
    <w:basedOn w:val="17"/>
    <w:link w:val="4"/>
    <w:qFormat/>
    <w:uiPriority w:val="99"/>
    <w:rPr>
      <w:rFonts w:eastAsia="仿宋_GB2312"/>
      <w:kern w:val="2"/>
      <w:sz w:val="24"/>
    </w:rPr>
  </w:style>
  <w:style w:type="paragraph" w:customStyle="1" w:styleId="30">
    <w:name w:val="无间隔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1">
    <w:name w:val="页脚 字符"/>
    <w:basedOn w:val="17"/>
    <w:link w:val="8"/>
    <w:qFormat/>
    <w:uiPriority w:val="99"/>
    <w:rPr>
      <w:rFonts w:ascii="Times New Roman" w:hAnsi="Times New Roman" w:eastAsia="宋体" w:cs="Times New Roman"/>
      <w:kern w:val="2"/>
      <w:sz w:val="18"/>
    </w:rPr>
  </w:style>
  <w:style w:type="paragraph" w:customStyle="1" w:styleId="32">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33">
    <w:name w:val="批注框文本 字符"/>
    <w:basedOn w:val="17"/>
    <w:link w:val="7"/>
    <w:qFormat/>
    <w:uiPriority w:val="0"/>
    <w:rPr>
      <w:rFonts w:ascii="Times New Roman" w:hAnsi="Times New Roman" w:eastAsia="宋体" w:cs="Times New Roman"/>
      <w:kern w:val="2"/>
      <w:sz w:val="18"/>
      <w:szCs w:val="18"/>
    </w:rPr>
  </w:style>
  <w:style w:type="paragraph" w:customStyle="1" w:styleId="34">
    <w:name w:val="修订2"/>
    <w:hidden/>
    <w:unhideWhenUsed/>
    <w:qFormat/>
    <w:uiPriority w:val="99"/>
    <w:rPr>
      <w:rFonts w:ascii="Times New Roman" w:hAnsi="Times New Roman" w:eastAsia="宋体" w:cs="Times New Roman"/>
      <w:kern w:val="2"/>
      <w:sz w:val="21"/>
      <w:szCs w:val="21"/>
      <w:lang w:val="en-US" w:eastAsia="zh-CN" w:bidi="ar-SA"/>
    </w:rPr>
  </w:style>
  <w:style w:type="character" w:customStyle="1" w:styleId="35">
    <w:name w:val="font21"/>
    <w:basedOn w:val="17"/>
    <w:qFormat/>
    <w:uiPriority w:val="0"/>
    <w:rPr>
      <w:rFonts w:hint="eastAsia" w:ascii="宋体" w:hAnsi="宋体" w:eastAsia="宋体" w:cs="宋体"/>
      <w:color w:val="000000"/>
      <w:sz w:val="20"/>
      <w:szCs w:val="20"/>
      <w:u w:val="none"/>
    </w:rPr>
  </w:style>
  <w:style w:type="character" w:customStyle="1" w:styleId="36">
    <w:name w:val="font11"/>
    <w:basedOn w:val="17"/>
    <w:qFormat/>
    <w:uiPriority w:val="0"/>
    <w:rPr>
      <w:rFonts w:hint="eastAsia" w:ascii="宋体" w:hAnsi="宋体" w:eastAsia="宋体" w:cs="宋体"/>
      <w:b/>
      <w:bCs/>
      <w:color w:val="000000"/>
      <w:sz w:val="20"/>
      <w:szCs w:val="20"/>
      <w:u w:val="none"/>
    </w:rPr>
  </w:style>
  <w:style w:type="paragraph" w:customStyle="1" w:styleId="37">
    <w:name w:val="Revision"/>
    <w:hidden/>
    <w:unhideWhenUsed/>
    <w:qFormat/>
    <w:uiPriority w:val="99"/>
    <w:rPr>
      <w:rFonts w:ascii="Times New Roman" w:hAnsi="Times New Roman" w:eastAsia="宋体" w:cs="Times New Roman"/>
      <w:kern w:val="2"/>
      <w:sz w:val="21"/>
      <w:szCs w:val="21"/>
      <w:lang w:val="en-US" w:eastAsia="zh-CN" w:bidi="ar-SA"/>
    </w:rPr>
  </w:style>
  <w:style w:type="paragraph" w:customStyle="1" w:styleId="38">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仿宋_GB2312" w:cs="Times New Roman"/>
      <w:kern w:val="2"/>
      <w:sz w:val="30"/>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image" Target="media/image1.emf"/><Relationship Id="rId7" Type="http://schemas.openxmlformats.org/officeDocument/2006/relationships/package" Target="embeddings/Microsoft_Visio___1.vsdx"/><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9166758858869"/>
          <c:y val="0"/>
          <c:w val="0.619755746780889"/>
          <c:h val="0.432588808545956"/>
        </c:manualLayout>
      </c:layout>
      <c:barChart>
        <c:barDir val="bar"/>
        <c:grouping val="clustered"/>
        <c:varyColors val="0"/>
        <c:ser>
          <c:idx val="0"/>
          <c:order val="0"/>
          <c:tx>
            <c:strRef>
              <c:f>Sheet2!$A$2</c:f>
              <c:strCache>
                <c:ptCount val="1"/>
                <c:pt idx="0">
                  <c:v>市政务服务局（本级）</c:v>
                </c:pt>
              </c:strCache>
            </c:strRef>
          </c:tx>
          <c:spPr>
            <a:pattFill prst="pct5">
              <a:fgClr>
                <a:schemeClr val="tx1">
                  <a:lumMod val="65000"/>
                  <a:lumOff val="35000"/>
                </a:schemeClr>
              </a:fgClr>
              <a:bgClr>
                <a:schemeClr val="bg1"/>
              </a:bgClr>
            </a:pattFill>
            <a:ln w="6350">
              <a:solidFill>
                <a:schemeClr val="tx1"/>
              </a:solidFill>
            </a:ln>
            <a:effectLst/>
          </c:spPr>
          <c:invertIfNegative val="0"/>
          <c:dLbls>
            <c:delete val="1"/>
          </c:dLbls>
          <c:cat>
            <c:strRef>
              <c:f>Sheet2!$B$1:$F$1</c:f>
              <c:strCache>
                <c:ptCount val="5"/>
                <c:pt idx="0">
                  <c:v>工资福利支出</c:v>
                </c:pt>
                <c:pt idx="1">
                  <c:v>商品和服务支出</c:v>
                </c:pt>
                <c:pt idx="2">
                  <c:v>对个人和家庭的补助</c:v>
                </c:pt>
                <c:pt idx="3">
                  <c:v>资本性支出（基本建设）</c:v>
                </c:pt>
                <c:pt idx="4">
                  <c:v>资本性支出</c:v>
                </c:pt>
              </c:strCache>
            </c:strRef>
          </c:cat>
          <c:val>
            <c:numRef>
              <c:f>Sheet2!$B$2:$F$2</c:f>
              <c:numCache>
                <c:formatCode>0.00_);[Red]\(0.00\)</c:formatCode>
                <c:ptCount val="5"/>
                <c:pt idx="0">
                  <c:v>8718.26</c:v>
                </c:pt>
                <c:pt idx="1">
                  <c:v>11421.67</c:v>
                </c:pt>
                <c:pt idx="2">
                  <c:v>1.54</c:v>
                </c:pt>
                <c:pt idx="3">
                  <c:v>538.2</c:v>
                </c:pt>
                <c:pt idx="4">
                  <c:v>3054.58</c:v>
                </c:pt>
              </c:numCache>
            </c:numRef>
          </c:val>
        </c:ser>
        <c:ser>
          <c:idx val="1"/>
          <c:order val="1"/>
          <c:tx>
            <c:strRef>
              <c:f>Sheet2!$A$3</c:f>
              <c:strCache>
                <c:ptCount val="1"/>
                <c:pt idx="0">
                  <c:v>热线服务中心</c:v>
                </c:pt>
              </c:strCache>
            </c:strRef>
          </c:tx>
          <c:spPr>
            <a:pattFill prst="smGrid">
              <a:fgClr>
                <a:schemeClr val="tx1">
                  <a:lumMod val="65000"/>
                  <a:lumOff val="35000"/>
                </a:schemeClr>
              </a:fgClr>
              <a:bgClr>
                <a:schemeClr val="bg1"/>
              </a:bgClr>
            </a:pattFill>
            <a:ln w="6350">
              <a:solidFill>
                <a:schemeClr val="tx1"/>
              </a:solidFill>
            </a:ln>
            <a:effectLst/>
          </c:spPr>
          <c:invertIfNegative val="0"/>
          <c:dLbls>
            <c:delete val="1"/>
          </c:dLbls>
          <c:cat>
            <c:strRef>
              <c:f>Sheet2!$B$1:$F$1</c:f>
              <c:strCache>
                <c:ptCount val="5"/>
                <c:pt idx="0">
                  <c:v>工资福利支出</c:v>
                </c:pt>
                <c:pt idx="1">
                  <c:v>商品和服务支出</c:v>
                </c:pt>
                <c:pt idx="2">
                  <c:v>对个人和家庭的补助</c:v>
                </c:pt>
                <c:pt idx="3">
                  <c:v>资本性支出（基本建设）</c:v>
                </c:pt>
                <c:pt idx="4">
                  <c:v>资本性支出</c:v>
                </c:pt>
              </c:strCache>
            </c:strRef>
          </c:cat>
          <c:val>
            <c:numRef>
              <c:f>Sheet2!$B$3:$F$3</c:f>
              <c:numCache>
                <c:formatCode>0.00_);[Red]\(0.00\)</c:formatCode>
                <c:ptCount val="5"/>
                <c:pt idx="0">
                  <c:v>18085.87</c:v>
                </c:pt>
                <c:pt idx="1">
                  <c:v>7396.66</c:v>
                </c:pt>
                <c:pt idx="2">
                  <c:v>0.51</c:v>
                </c:pt>
                <c:pt idx="3">
                  <c:v>0</c:v>
                </c:pt>
                <c:pt idx="4">
                  <c:v>1.69</c:v>
                </c:pt>
              </c:numCache>
            </c:numRef>
          </c:val>
        </c:ser>
        <c:ser>
          <c:idx val="2"/>
          <c:order val="2"/>
          <c:tx>
            <c:strRef>
              <c:f>Sheet2!$A$4</c:f>
              <c:strCache>
                <c:ptCount val="1"/>
                <c:pt idx="0">
                  <c:v>网厅中心</c:v>
                </c:pt>
              </c:strCache>
            </c:strRef>
          </c:tx>
          <c:spPr>
            <a:pattFill prst="pct75">
              <a:fgClr>
                <a:schemeClr val="tx1">
                  <a:lumMod val="65000"/>
                  <a:lumOff val="35000"/>
                </a:schemeClr>
              </a:fgClr>
              <a:bgClr>
                <a:schemeClr val="bg1"/>
              </a:bgClr>
            </a:pattFill>
            <a:ln w="6350">
              <a:solidFill>
                <a:schemeClr val="tx1"/>
              </a:solidFill>
            </a:ln>
            <a:effectLst/>
          </c:spPr>
          <c:invertIfNegative val="0"/>
          <c:dLbls>
            <c:delete val="1"/>
          </c:dLbls>
          <c:cat>
            <c:strRef>
              <c:f>Sheet2!$B$1:$F$1</c:f>
              <c:strCache>
                <c:ptCount val="5"/>
                <c:pt idx="0">
                  <c:v>工资福利支出</c:v>
                </c:pt>
                <c:pt idx="1">
                  <c:v>商品和服务支出</c:v>
                </c:pt>
                <c:pt idx="2">
                  <c:v>对个人和家庭的补助</c:v>
                </c:pt>
                <c:pt idx="3">
                  <c:v>资本性支出（基本建设）</c:v>
                </c:pt>
                <c:pt idx="4">
                  <c:v>资本性支出</c:v>
                </c:pt>
              </c:strCache>
            </c:strRef>
          </c:cat>
          <c:val>
            <c:numRef>
              <c:f>Sheet2!$B$4:$F$4</c:f>
              <c:numCache>
                <c:formatCode>0.00_);[Red]\(0.00\)</c:formatCode>
                <c:ptCount val="5"/>
                <c:pt idx="0">
                  <c:v>449.46</c:v>
                </c:pt>
                <c:pt idx="1">
                  <c:v>2041.84</c:v>
                </c:pt>
                <c:pt idx="2">
                  <c:v>0</c:v>
                </c:pt>
                <c:pt idx="3">
                  <c:v>0</c:v>
                </c:pt>
                <c:pt idx="4">
                  <c:v>87.66</c:v>
                </c:pt>
              </c:numCache>
            </c:numRef>
          </c:val>
        </c:ser>
        <c:dLbls>
          <c:showLegendKey val="0"/>
          <c:showVal val="0"/>
          <c:showCatName val="0"/>
          <c:showSerName val="0"/>
          <c:showPercent val="0"/>
          <c:showBubbleSize val="0"/>
        </c:dLbls>
        <c:gapWidth val="182"/>
        <c:axId val="1260439167"/>
        <c:axId val="1260430015"/>
      </c:barChart>
      <c:catAx>
        <c:axId val="1260439167"/>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1000" b="0" i="0" u="none" strike="noStrike" kern="1200" baseline="0">
                <a:solidFill>
                  <a:sysClr val="windowText" lastClr="000000"/>
                </a:solidFill>
                <a:latin typeface="宋体" panose="02010600030101010101" charset="-122"/>
                <a:ea typeface="宋体" panose="02010600030101010101" charset="-122"/>
                <a:cs typeface="+mn-cs"/>
              </a:defRPr>
            </a:pPr>
          </a:p>
        </c:txPr>
        <c:crossAx val="1260430015"/>
        <c:crosses val="autoZero"/>
        <c:auto val="1"/>
        <c:lblAlgn val="ctr"/>
        <c:lblOffset val="100"/>
        <c:noMultiLvlLbl val="0"/>
      </c:catAx>
      <c:valAx>
        <c:axId val="1260430015"/>
        <c:scaling>
          <c:orientation val="minMax"/>
        </c:scaling>
        <c:delete val="0"/>
        <c:axPos val="b"/>
        <c:majorGridlines>
          <c:spPr>
            <a:ln w="9525" cap="flat" cmpd="sng" algn="ctr">
              <a:solidFill>
                <a:schemeClr val="tx1">
                  <a:lumMod val="15000"/>
                  <a:lumOff val="85000"/>
                </a:schemeClr>
              </a:solidFill>
              <a:round/>
            </a:ln>
            <a:effectLst/>
          </c:spPr>
        </c:majorGridlines>
        <c:numFmt formatCode="0.00_);[Red]\(0.0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宋体" panose="02010600030101010101" charset="-122"/>
                <a:ea typeface="宋体" panose="02010600030101010101" charset="-122"/>
                <a:cs typeface="+mn-cs"/>
              </a:defRPr>
            </a:pPr>
          </a:p>
        </c:txPr>
        <c:crossAx val="1260439167"/>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lang="zh-CN" sz="900" b="0" i="0" u="none" strike="noStrike" kern="1200" baseline="0">
                <a:solidFill>
                  <a:sysClr val="windowText" lastClr="000000"/>
                </a:solidFill>
                <a:latin typeface="+mn-ea"/>
                <a:ea typeface="+mn-ea"/>
                <a:cs typeface="+mn-cs"/>
              </a:defRPr>
            </a:pPr>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1000" b="0" i="0" u="none" strike="noStrike" kern="1200" baseline="0">
              <a:solidFill>
                <a:schemeClr val="tx1">
                  <a:lumMod val="65000"/>
                  <a:lumOff val="35000"/>
                </a:schemeClr>
              </a:solidFill>
              <a:latin typeface="宋体" panose="02010600030101010101" charset="-122"/>
              <a:ea typeface="宋体" panose="02010600030101010101" charset="-122"/>
              <a:cs typeface="+mn-cs"/>
            </a:defRPr>
          </a:pPr>
        </a:p>
      </c:txPr>
    </c:legend>
    <c:plotVisOnly val="1"/>
    <c:dispBlanksAs val="gap"/>
    <c:showDLblsOverMax val="0"/>
    <c:extLst>
      <c:ext uri="{0b15fc19-7d7d-44ad-8c2d-2c3a37ce22c3}">
        <chartProps xmlns="https://web.wps.cn/et/2018/main" chartId="{2532c693-2082-4aab-8ddb-08808c006df5}"/>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272</Words>
  <Characters>295</Characters>
  <Lines>281</Lines>
  <Paragraphs>79</Paragraphs>
  <TotalTime>0</TotalTime>
  <ScaleCrop>false</ScaleCrop>
  <LinksUpToDate>false</LinksUpToDate>
  <CharactersWithSpaces>321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2022-06-06T19:06:00Z</dcterms:created>
  <dc:creator>user</dc:creator>
  <cp:lastModifiedBy>和力</cp:lastModifiedBy>
  <cp:lastPrinted>2022-06-09T07:41:00Z</cp:lastPrinted>
  <dcterms:modified xsi:type="dcterms:W3CDTF">2025-02-27T09:29:35Z</dcterms:modified>
  <cp:revision>230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A0F4347C008B43A9A044EFE96ECE74E6_12</vt:lpwstr>
  </property>
  <property fmtid="{D5CDD505-2E9C-101B-9397-08002B2CF9AE}" pid="4" name="KSOTemplateDocerSaveRecord">
    <vt:lpwstr>eyJoZGlkIjoiNGZjZTQ4Mjg1NzcwMzA2ODMxZTIwMGU5YWI1OWViZTUiLCJ1c2VySWQiOiI3NDE0MTQzMTUifQ==</vt:lpwstr>
  </property>
</Properties>
</file>