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spacing w:line="720" w:lineRule="auto"/>
        <w:jc w:val="center"/>
        <w:rPr>
          <w:rFonts w:ascii="Times New Roman" w:hAnsi="Times New Roman" w:eastAsia="楷体"/>
          <w:b/>
          <w:sz w:val="48"/>
          <w:szCs w:val="48"/>
        </w:rPr>
      </w:pPr>
    </w:p>
    <w:p>
      <w:pPr>
        <w:spacing w:line="720" w:lineRule="auto"/>
        <w:jc w:val="center"/>
        <w:rPr>
          <w:rFonts w:ascii="Times New Roman" w:hAnsi="Times New Roman" w:eastAsia="楷体"/>
          <w:b/>
          <w:sz w:val="48"/>
          <w:szCs w:val="48"/>
        </w:rPr>
      </w:pPr>
    </w:p>
    <w:p>
      <w:pPr>
        <w:adjustRightInd w:val="0"/>
        <w:snapToGrid w:val="0"/>
        <w:spacing w:line="360" w:lineRule="auto"/>
        <w:jc w:val="center"/>
        <w:rPr>
          <w:rFonts w:ascii="楷体" w:hAnsi="楷体" w:eastAsia="楷体"/>
          <w:b/>
          <w:snapToGrid w:val="0"/>
          <w:kern w:val="0"/>
          <w:sz w:val="36"/>
          <w:szCs w:val="36"/>
        </w:rPr>
      </w:pPr>
      <w:r>
        <w:rPr>
          <w:rFonts w:hint="eastAsia" w:ascii="楷体" w:hAnsi="楷体" w:eastAsia="楷体"/>
          <w:b/>
          <w:snapToGrid w:val="0"/>
          <w:kern w:val="0"/>
          <w:sz w:val="36"/>
          <w:szCs w:val="36"/>
        </w:rPr>
        <w:t>北京市政务服务管理局</w:t>
      </w:r>
    </w:p>
    <w:p>
      <w:pPr>
        <w:adjustRightInd w:val="0"/>
        <w:snapToGrid w:val="0"/>
        <w:spacing w:line="360" w:lineRule="auto"/>
        <w:jc w:val="center"/>
        <w:rPr>
          <w:rFonts w:ascii="楷体" w:hAnsi="楷体" w:eastAsia="楷体"/>
          <w:b/>
          <w:snapToGrid w:val="0"/>
          <w:kern w:val="0"/>
          <w:sz w:val="36"/>
          <w:szCs w:val="36"/>
        </w:rPr>
      </w:pPr>
      <w:r>
        <w:rPr>
          <w:rFonts w:hint="eastAsia" w:ascii="楷体" w:hAnsi="楷体" w:eastAsia="楷体"/>
          <w:b/>
          <w:snapToGrid w:val="0"/>
          <w:kern w:val="0"/>
          <w:sz w:val="36"/>
          <w:szCs w:val="36"/>
        </w:rPr>
        <w:t>2</w:t>
      </w:r>
      <w:r>
        <w:rPr>
          <w:rFonts w:ascii="楷体" w:hAnsi="楷体" w:eastAsia="楷体"/>
          <w:b/>
          <w:snapToGrid w:val="0"/>
          <w:kern w:val="0"/>
          <w:sz w:val="36"/>
          <w:szCs w:val="36"/>
        </w:rPr>
        <w:t>02</w:t>
      </w:r>
      <w:r>
        <w:rPr>
          <w:rFonts w:hint="eastAsia" w:ascii="楷体" w:hAnsi="楷体" w:eastAsia="楷体"/>
          <w:b/>
          <w:snapToGrid w:val="0"/>
          <w:kern w:val="0"/>
          <w:sz w:val="36"/>
          <w:szCs w:val="36"/>
        </w:rPr>
        <w:t>3年度财务综合服务项目</w:t>
      </w:r>
    </w:p>
    <w:p>
      <w:pPr>
        <w:adjustRightInd w:val="0"/>
        <w:snapToGrid w:val="0"/>
        <w:spacing w:line="360" w:lineRule="auto"/>
        <w:jc w:val="center"/>
        <w:rPr>
          <w:rFonts w:ascii="黑体" w:hAnsi="黑体" w:eastAsia="黑体"/>
          <w:b/>
          <w:sz w:val="72"/>
          <w:szCs w:val="72"/>
          <w:lang w:val="zh-CN"/>
        </w:rPr>
      </w:pPr>
      <w:r>
        <w:rPr>
          <w:rFonts w:hint="eastAsia" w:ascii="黑体" w:hAnsi="黑体" w:eastAsia="黑体"/>
          <w:b/>
          <w:sz w:val="72"/>
          <w:szCs w:val="72"/>
          <w:lang w:val="zh-CN"/>
        </w:rPr>
        <w:t>绩 效 评 价 报 告</w:t>
      </w:r>
    </w:p>
    <w:p>
      <w:pPr>
        <w:adjustRightInd w:val="0"/>
        <w:snapToGrid w:val="0"/>
        <w:spacing w:line="360" w:lineRule="auto"/>
        <w:jc w:val="left"/>
        <w:rPr>
          <w:i/>
          <w:iCs/>
          <w:sz w:val="32"/>
          <w:szCs w:val="32"/>
          <w:lang w:val="zh-CN"/>
        </w:rPr>
      </w:pPr>
    </w:p>
    <w:p>
      <w:pPr>
        <w:adjustRightInd w:val="0"/>
        <w:snapToGrid w:val="0"/>
        <w:spacing w:line="360" w:lineRule="auto"/>
        <w:jc w:val="left"/>
        <w:rPr>
          <w:iCs/>
          <w:sz w:val="32"/>
          <w:szCs w:val="32"/>
          <w:lang w:val="zh-CN"/>
        </w:rPr>
      </w:pPr>
    </w:p>
    <w:p>
      <w:pPr>
        <w:adjustRightInd w:val="0"/>
        <w:snapToGrid w:val="0"/>
        <w:spacing w:line="360" w:lineRule="auto"/>
        <w:jc w:val="left"/>
        <w:rPr>
          <w:i/>
          <w:iCs/>
          <w:sz w:val="32"/>
          <w:szCs w:val="32"/>
          <w:lang w:val="zh-CN"/>
        </w:rPr>
      </w:pPr>
    </w:p>
    <w:p>
      <w:pPr>
        <w:adjustRightInd w:val="0"/>
        <w:snapToGrid w:val="0"/>
        <w:spacing w:line="360" w:lineRule="auto"/>
        <w:jc w:val="left"/>
        <w:rPr>
          <w:i/>
          <w:iCs/>
          <w:sz w:val="32"/>
          <w:szCs w:val="32"/>
          <w:lang w:val="zh-CN"/>
        </w:rPr>
      </w:pPr>
    </w:p>
    <w:p>
      <w:pPr>
        <w:adjustRightInd w:val="0"/>
        <w:snapToGrid w:val="0"/>
        <w:spacing w:line="360" w:lineRule="auto"/>
        <w:jc w:val="left"/>
        <w:rPr>
          <w:rFonts w:eastAsia="黑体"/>
          <w:sz w:val="32"/>
          <w:szCs w:val="32"/>
          <w:lang w:val="zh-CN"/>
        </w:rPr>
      </w:pPr>
    </w:p>
    <w:p>
      <w:pPr>
        <w:adjustRightInd w:val="0"/>
        <w:snapToGrid w:val="0"/>
        <w:spacing w:line="360" w:lineRule="auto"/>
        <w:jc w:val="left"/>
        <w:rPr>
          <w:rFonts w:eastAsia="黑体"/>
          <w:sz w:val="32"/>
          <w:szCs w:val="32"/>
          <w:lang w:val="zh-CN"/>
        </w:rPr>
      </w:pPr>
    </w:p>
    <w:p>
      <w:pPr>
        <w:adjustRightInd w:val="0"/>
        <w:snapToGrid w:val="0"/>
        <w:spacing w:line="360" w:lineRule="auto"/>
        <w:jc w:val="left"/>
        <w:rPr>
          <w:rFonts w:eastAsia="黑体"/>
          <w:sz w:val="32"/>
          <w:szCs w:val="32"/>
          <w:lang w:val="zh-CN"/>
        </w:rPr>
      </w:pPr>
    </w:p>
    <w:p>
      <w:pPr>
        <w:adjustRightInd w:val="0"/>
        <w:snapToGrid w:val="0"/>
        <w:spacing w:line="360" w:lineRule="auto"/>
        <w:jc w:val="left"/>
        <w:rPr>
          <w:rFonts w:eastAsia="黑体"/>
          <w:sz w:val="32"/>
          <w:szCs w:val="32"/>
          <w:lang w:val="zh-CN"/>
        </w:rPr>
      </w:pPr>
    </w:p>
    <w:p>
      <w:pPr>
        <w:adjustRightInd w:val="0"/>
        <w:snapToGrid w:val="0"/>
        <w:spacing w:line="360" w:lineRule="auto"/>
        <w:jc w:val="center"/>
        <w:rPr>
          <w:rFonts w:eastAsia="楷体"/>
          <w:b/>
          <w:sz w:val="44"/>
          <w:szCs w:val="44"/>
          <w:lang w:val="zh-CN"/>
        </w:rPr>
      </w:pPr>
      <w:r>
        <w:rPr>
          <w:rFonts w:eastAsia="楷体"/>
          <w:b/>
          <w:sz w:val="44"/>
          <w:szCs w:val="44"/>
        </w:rPr>
        <w:t>北京</w:t>
      </w:r>
      <w:r>
        <w:rPr>
          <w:rFonts w:hint="eastAsia" w:eastAsia="楷体"/>
          <w:b/>
          <w:sz w:val="44"/>
          <w:szCs w:val="44"/>
        </w:rPr>
        <w:t>立瑞会计师事务所（普通合伙）</w:t>
      </w:r>
    </w:p>
    <w:p>
      <w:pPr>
        <w:adjustRightInd w:val="0"/>
        <w:snapToGrid w:val="0"/>
        <w:spacing w:line="360" w:lineRule="auto"/>
        <w:jc w:val="center"/>
        <w:rPr>
          <w:b/>
          <w:i/>
          <w:sz w:val="32"/>
          <w:szCs w:val="32"/>
          <w:lang w:val="zh-CN"/>
        </w:rPr>
      </w:pPr>
    </w:p>
    <w:p>
      <w:pPr>
        <w:adjustRightInd w:val="0"/>
        <w:snapToGrid w:val="0"/>
        <w:spacing w:line="360" w:lineRule="auto"/>
        <w:jc w:val="center"/>
        <w:rPr>
          <w:rFonts w:ascii="仿宋_GB2312" w:hAnsi="仿宋" w:eastAsia="仿宋_GB2312"/>
          <w:b/>
          <w:sz w:val="32"/>
          <w:szCs w:val="32"/>
          <w:lang w:val="zh-CN"/>
        </w:rPr>
      </w:pPr>
      <w:r>
        <w:rPr>
          <w:rFonts w:ascii="仿宋_GB2312" w:hAnsi="仿宋" w:eastAsia="仿宋_GB2312"/>
          <w:b/>
          <w:sz w:val="32"/>
          <w:szCs w:val="32"/>
          <w:lang w:val="zh-CN"/>
        </w:rPr>
        <w:t>202</w:t>
      </w:r>
      <w:r>
        <w:rPr>
          <w:rFonts w:hint="eastAsia" w:ascii="仿宋_GB2312" w:hAnsi="仿宋" w:eastAsia="仿宋_GB2312"/>
          <w:b/>
          <w:sz w:val="32"/>
          <w:szCs w:val="32"/>
          <w:lang w:val="zh-CN"/>
        </w:rPr>
        <w:t>4年</w:t>
      </w:r>
      <w:r>
        <w:rPr>
          <w:rFonts w:ascii="仿宋_GB2312" w:hAnsi="仿宋" w:eastAsia="仿宋_GB2312"/>
          <w:b/>
          <w:sz w:val="32"/>
          <w:szCs w:val="32"/>
          <w:lang w:val="zh-CN"/>
        </w:rPr>
        <w:t>5</w:t>
      </w:r>
      <w:r>
        <w:rPr>
          <w:rFonts w:hint="eastAsia" w:ascii="仿宋_GB2312" w:hAnsi="仿宋" w:eastAsia="仿宋_GB2312"/>
          <w:b/>
          <w:sz w:val="32"/>
          <w:szCs w:val="32"/>
          <w:lang w:val="zh-CN"/>
        </w:rPr>
        <w:t>月</w:t>
      </w:r>
    </w:p>
    <w:p>
      <w:pPr>
        <w:adjustRightInd w:val="0"/>
        <w:snapToGrid w:val="0"/>
        <w:spacing w:line="360" w:lineRule="auto"/>
        <w:jc w:val="center"/>
        <w:rPr>
          <w:rFonts w:ascii="仿宋_GB2312"/>
          <w:b/>
          <w:sz w:val="32"/>
          <w:szCs w:val="32"/>
          <w:lang w:val="zh-CN"/>
        </w:rPr>
      </w:pPr>
    </w:p>
    <w:p>
      <w:pPr>
        <w:rPr>
          <w:rFonts w:ascii="Times New Roman" w:hAnsi="Times New Roman"/>
          <w:sz w:val="32"/>
          <w:szCs w:val="32"/>
        </w:rPr>
      </w:pPr>
    </w:p>
    <w:p>
      <w:pPr>
        <w:rPr>
          <w:rFonts w:ascii="Times New Roman" w:hAnsi="Times New Roman"/>
          <w:sz w:val="32"/>
          <w:szCs w:val="32"/>
        </w:rPr>
      </w:pPr>
    </w:p>
    <w:p>
      <w:pPr>
        <w:rPr>
          <w:rFonts w:ascii="Times New Roman" w:hAnsi="Times New Roman"/>
        </w:rPr>
        <w:sectPr>
          <w:footerReference r:id="rId3" w:type="default"/>
          <w:pgSz w:w="11906" w:h="16838"/>
          <w:pgMar w:top="1440" w:right="1800" w:bottom="1440" w:left="1800" w:header="851" w:footer="737" w:gutter="0"/>
          <w:cols w:space="720" w:num="1"/>
          <w:docGrid w:type="lines" w:linePitch="312" w:charSpace="0"/>
        </w:sectPr>
      </w:pPr>
    </w:p>
    <w:p>
      <w:pPr>
        <w:ind w:firstLine="2700"/>
        <w:rPr>
          <w:rFonts w:ascii="黑体" w:hAnsi="黑体" w:eastAsia="黑体"/>
          <w:sz w:val="32"/>
          <w:szCs w:val="28"/>
        </w:rPr>
      </w:pPr>
      <w:r>
        <w:rPr>
          <w:rFonts w:hint="eastAsia" w:ascii="黑体" w:hAnsi="黑体" w:eastAsia="黑体"/>
          <w:sz w:val="32"/>
          <w:szCs w:val="28"/>
        </w:rPr>
        <w:t>反映项目绩效的相关图片</w:t>
      </w:r>
    </w:p>
    <w:p>
      <w:pPr>
        <w:ind w:firstLine="2700"/>
        <w:rPr>
          <w:rFonts w:ascii="黑体" w:hAnsi="黑体" w:eastAsia="黑体"/>
          <w:sz w:val="20"/>
          <w:szCs w:val="20"/>
        </w:rPr>
      </w:pPr>
    </w:p>
    <w:p>
      <w:pPr>
        <w:jc w:val="center"/>
        <w:rPr>
          <w:rFonts w:ascii="黑体" w:hAnsi="黑体" w:eastAsia="黑体"/>
          <w:sz w:val="28"/>
          <w:szCs w:val="28"/>
        </w:rPr>
      </w:pPr>
      <w:r>
        <w:drawing>
          <wp:inline distT="0" distB="0" distL="0" distR="0">
            <wp:extent cx="5231130" cy="3227705"/>
            <wp:effectExtent l="0" t="0" r="7620" b="0"/>
            <wp:docPr id="140331434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314341" name="图片 9"/>
                    <pic:cNvPicPr>
                      <a:picLocks noChangeAspect="1"/>
                    </pic:cNvPicPr>
                  </pic:nvPicPr>
                  <pic:blipFill>
                    <a:blip r:embed="rId9"/>
                    <a:stretch>
                      <a:fillRect/>
                    </a:stretch>
                  </pic:blipFill>
                  <pic:spPr>
                    <a:xfrm>
                      <a:off x="0" y="0"/>
                      <a:ext cx="5231130" cy="3227705"/>
                    </a:xfrm>
                    <a:prstGeom prst="rect">
                      <a:avLst/>
                    </a:prstGeom>
                  </pic:spPr>
                </pic:pic>
              </a:graphicData>
            </a:graphic>
          </wp:inline>
        </w:drawing>
      </w:r>
    </w:p>
    <w:p>
      <w:pPr>
        <w:jc w:val="center"/>
        <w:rPr>
          <w:rFonts w:ascii="黑体" w:hAnsi="黑体" w:eastAsia="黑体"/>
          <w:sz w:val="28"/>
          <w:szCs w:val="28"/>
        </w:rPr>
      </w:pPr>
      <w:r>
        <w:rPr>
          <w:rFonts w:hint="eastAsia" w:ascii="黑体" w:hAnsi="黑体" w:eastAsia="黑体"/>
          <w:sz w:val="28"/>
          <w:szCs w:val="28"/>
        </w:rPr>
        <w:t>图1：2023年针对2022年度重点评价项目召开专家会</w:t>
      </w:r>
    </w:p>
    <w:p>
      <w:pPr>
        <w:jc w:val="center"/>
        <w:rPr>
          <w:rFonts w:ascii="黑体" w:hAnsi="黑体" w:eastAsia="黑体"/>
          <w:sz w:val="20"/>
          <w:szCs w:val="20"/>
        </w:rPr>
      </w:pPr>
    </w:p>
    <w:p>
      <w:pPr>
        <w:jc w:val="center"/>
        <w:rPr>
          <w:rFonts w:ascii="黑体" w:hAnsi="黑体" w:eastAsia="黑体"/>
          <w:sz w:val="28"/>
          <w:szCs w:val="28"/>
        </w:rPr>
      </w:pPr>
      <w:r>
        <w:drawing>
          <wp:inline distT="0" distB="0" distL="0" distR="0">
            <wp:extent cx="5229860" cy="3004185"/>
            <wp:effectExtent l="0" t="0" r="8890" b="5715"/>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0"/>
                    <a:stretch>
                      <a:fillRect/>
                    </a:stretch>
                  </pic:blipFill>
                  <pic:spPr>
                    <a:xfrm>
                      <a:off x="0" y="0"/>
                      <a:ext cx="5234151" cy="3006743"/>
                    </a:xfrm>
                    <a:prstGeom prst="rect">
                      <a:avLst/>
                    </a:prstGeom>
                  </pic:spPr>
                </pic:pic>
              </a:graphicData>
            </a:graphic>
          </wp:inline>
        </w:drawing>
      </w:r>
    </w:p>
    <w:p>
      <w:pPr>
        <w:spacing w:line="560" w:lineRule="exact"/>
        <w:ind w:firstLine="560" w:firstLineChars="200"/>
        <w:jc w:val="center"/>
        <w:rPr>
          <w:rFonts w:ascii="黑体" w:hAnsi="黑体" w:eastAsia="黑体"/>
          <w:sz w:val="28"/>
          <w:szCs w:val="28"/>
        </w:rPr>
      </w:pPr>
      <w:r>
        <w:rPr>
          <w:rFonts w:hint="eastAsia" w:ascii="黑体" w:hAnsi="黑体" w:eastAsia="黑体"/>
          <w:sz w:val="28"/>
          <w:szCs w:val="28"/>
        </w:rPr>
        <w:t>图2：2023年度政务服务信息系统运维服务项目成本绩效分析实地调研</w:t>
      </w:r>
    </w:p>
    <w:p>
      <w:pPr>
        <w:jc w:val="center"/>
        <w:rPr>
          <w:rFonts w:ascii="黑体" w:hAnsi="黑体" w:eastAsia="黑体"/>
          <w:sz w:val="28"/>
          <w:szCs w:val="28"/>
        </w:rPr>
      </w:pPr>
    </w:p>
    <w:p>
      <w:pPr>
        <w:jc w:val="center"/>
        <w:rPr>
          <w:rFonts w:ascii="黑体" w:hAnsi="黑体" w:eastAsia="黑体"/>
          <w:sz w:val="28"/>
          <w:szCs w:val="28"/>
        </w:rPr>
      </w:pPr>
      <w:r>
        <w:drawing>
          <wp:inline distT="0" distB="0" distL="0" distR="0">
            <wp:extent cx="5045710" cy="2921000"/>
            <wp:effectExtent l="0" t="0" r="2540" b="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1"/>
                    <a:stretch>
                      <a:fillRect/>
                    </a:stretch>
                  </pic:blipFill>
                  <pic:spPr>
                    <a:xfrm>
                      <a:off x="0" y="0"/>
                      <a:ext cx="5068912" cy="2934764"/>
                    </a:xfrm>
                    <a:prstGeom prst="rect">
                      <a:avLst/>
                    </a:prstGeom>
                  </pic:spPr>
                </pic:pic>
              </a:graphicData>
            </a:graphic>
          </wp:inline>
        </w:drawing>
      </w:r>
    </w:p>
    <w:p>
      <w:pPr>
        <w:jc w:val="center"/>
        <w:rPr>
          <w:rFonts w:ascii="黑体" w:hAnsi="黑体" w:eastAsia="黑体"/>
          <w:sz w:val="28"/>
          <w:szCs w:val="28"/>
        </w:rPr>
      </w:pPr>
      <w:r>
        <w:rPr>
          <w:rFonts w:hint="eastAsia" w:ascii="黑体" w:hAnsi="黑体" w:eastAsia="黑体"/>
          <w:sz w:val="28"/>
          <w:szCs w:val="28"/>
        </w:rPr>
        <w:t>图</w:t>
      </w:r>
      <w:r>
        <w:rPr>
          <w:rFonts w:ascii="黑体" w:hAnsi="黑体" w:eastAsia="黑体"/>
          <w:sz w:val="28"/>
          <w:szCs w:val="28"/>
        </w:rPr>
        <w:t>3</w:t>
      </w:r>
      <w:r>
        <w:rPr>
          <w:rFonts w:hint="eastAsia" w:ascii="黑体" w:hAnsi="黑体" w:eastAsia="黑体"/>
          <w:sz w:val="28"/>
          <w:szCs w:val="28"/>
        </w:rPr>
        <w:t>：2023年针对2024年度部门预算编制工作开展培训</w:t>
      </w:r>
    </w:p>
    <w:p>
      <w:pPr>
        <w:jc w:val="center"/>
        <w:rPr>
          <w:rFonts w:ascii="黑体" w:hAnsi="黑体" w:eastAsia="黑体"/>
          <w:sz w:val="20"/>
          <w:szCs w:val="20"/>
        </w:rPr>
      </w:pPr>
    </w:p>
    <w:p>
      <w:pPr>
        <w:rPr>
          <w:rFonts w:ascii="Calibri" w:hAnsi="Calibri" w:eastAsia="宋体"/>
          <w:szCs w:val="21"/>
        </w:rPr>
      </w:pPr>
      <w:r>
        <w:drawing>
          <wp:inline distT="0" distB="0" distL="0" distR="0">
            <wp:extent cx="5266690" cy="1146175"/>
            <wp:effectExtent l="0" t="0" r="0" b="0"/>
            <wp:docPr id="44206347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063473" name="图片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6690" cy="1146175"/>
                    </a:xfrm>
                    <a:prstGeom prst="rect">
                      <a:avLst/>
                    </a:prstGeom>
                    <a:noFill/>
                    <a:ln>
                      <a:noFill/>
                    </a:ln>
                  </pic:spPr>
                </pic:pic>
              </a:graphicData>
            </a:graphic>
          </wp:inline>
        </w:drawing>
      </w:r>
    </w:p>
    <w:p>
      <w:pPr>
        <w:rPr>
          <w:rFonts w:ascii="Calibri" w:hAnsi="Calibri" w:eastAsia="宋体"/>
          <w:szCs w:val="21"/>
        </w:rPr>
      </w:pPr>
      <w:r>
        <w:drawing>
          <wp:inline distT="0" distB="0" distL="0" distR="0">
            <wp:extent cx="5266690" cy="1697990"/>
            <wp:effectExtent l="0" t="0" r="0" b="5715"/>
            <wp:docPr id="19234302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430215" name="图片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66690" cy="1697990"/>
                    </a:xfrm>
                    <a:prstGeom prst="rect">
                      <a:avLst/>
                    </a:prstGeom>
                    <a:noFill/>
                    <a:ln>
                      <a:noFill/>
                    </a:ln>
                  </pic:spPr>
                </pic:pic>
              </a:graphicData>
            </a:graphic>
          </wp:inline>
        </w:drawing>
      </w:r>
    </w:p>
    <w:p>
      <w:pPr>
        <w:rPr>
          <w:rFonts w:ascii="Calibri" w:hAnsi="Calibri" w:eastAsia="宋体"/>
          <w:szCs w:val="21"/>
        </w:rPr>
      </w:pPr>
      <w:r>
        <w:drawing>
          <wp:inline distT="0" distB="0" distL="0" distR="0">
            <wp:extent cx="5266690" cy="1971040"/>
            <wp:effectExtent l="0" t="0" r="0" b="7620"/>
            <wp:docPr id="24092460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924603" name="图片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66690" cy="1971040"/>
                    </a:xfrm>
                    <a:prstGeom prst="rect">
                      <a:avLst/>
                    </a:prstGeom>
                    <a:noFill/>
                    <a:ln>
                      <a:noFill/>
                    </a:ln>
                  </pic:spPr>
                </pic:pic>
              </a:graphicData>
            </a:graphic>
          </wp:inline>
        </w:drawing>
      </w:r>
    </w:p>
    <w:p>
      <w:pPr>
        <w:jc w:val="center"/>
        <w:rPr>
          <w:rFonts w:ascii="黑体" w:hAnsi="黑体" w:eastAsia="黑体"/>
          <w:sz w:val="28"/>
          <w:szCs w:val="28"/>
        </w:rPr>
      </w:pPr>
      <w:r>
        <w:rPr>
          <w:rFonts w:hint="eastAsia" w:ascii="黑体" w:hAnsi="黑体" w:eastAsia="黑体"/>
          <w:sz w:val="28"/>
          <w:szCs w:val="28"/>
        </w:rPr>
        <w:t>图4：财务软件信息管理系统账务处理、出纳管理等部分功能截图</w:t>
      </w:r>
    </w:p>
    <w:p>
      <w:pPr>
        <w:rPr>
          <w:rFonts w:ascii="Times New Roman" w:hAnsi="Times New Roman"/>
        </w:rPr>
        <w:sectPr>
          <w:footerReference r:id="rId4" w:type="default"/>
          <w:type w:val="continuous"/>
          <w:pgSz w:w="11906" w:h="16838"/>
          <w:pgMar w:top="1440" w:right="1800" w:bottom="1440" w:left="1800" w:header="851" w:footer="737" w:gutter="0"/>
          <w:cols w:space="720" w:num="1"/>
          <w:docGrid w:type="lines" w:linePitch="312" w:charSpace="0"/>
        </w:sectPr>
      </w:pPr>
    </w:p>
    <w:p>
      <w:pPr>
        <w:adjustRightInd w:val="0"/>
        <w:snapToGrid w:val="0"/>
        <w:spacing w:line="360" w:lineRule="auto"/>
        <w:jc w:val="center"/>
        <w:rPr>
          <w:rFonts w:ascii="黑体" w:hAnsi="华文中宋" w:eastAsia="黑体"/>
          <w:bCs/>
          <w:sz w:val="32"/>
          <w:szCs w:val="32"/>
        </w:rPr>
      </w:pPr>
      <w:r>
        <w:rPr>
          <w:rFonts w:hint="eastAsia" w:ascii="黑体" w:hAnsi="华文中宋" w:eastAsia="黑体"/>
          <w:bCs/>
          <w:sz w:val="32"/>
          <w:szCs w:val="32"/>
        </w:rPr>
        <w:t>目</w:t>
      </w:r>
      <w:r>
        <w:rPr>
          <w:rFonts w:ascii="黑体" w:hAnsi="华文中宋" w:eastAsia="黑体"/>
          <w:bCs/>
          <w:sz w:val="32"/>
          <w:szCs w:val="32"/>
        </w:rPr>
        <w:t xml:space="preserve">  </w:t>
      </w:r>
      <w:r>
        <w:rPr>
          <w:rFonts w:hint="eastAsia" w:ascii="黑体" w:hAnsi="华文中宋" w:eastAsia="黑体"/>
          <w:bCs/>
          <w:sz w:val="32"/>
          <w:szCs w:val="32"/>
        </w:rPr>
        <w:t>录</w:t>
      </w:r>
    </w:p>
    <w:p>
      <w:pPr>
        <w:adjustRightInd w:val="0"/>
        <w:snapToGrid w:val="0"/>
        <w:spacing w:line="560" w:lineRule="exact"/>
        <w:jc w:val="center"/>
        <w:rPr>
          <w:rFonts w:ascii="仿宋_GB2312" w:hAnsi="华文中宋" w:eastAsia="仿宋_GB2312"/>
          <w:bCs/>
          <w:sz w:val="20"/>
          <w:szCs w:val="20"/>
        </w:rPr>
      </w:pPr>
    </w:p>
    <w:p>
      <w:pPr>
        <w:pStyle w:val="7"/>
        <w:tabs>
          <w:tab w:val="right" w:leader="dot" w:pos="8296"/>
        </w:tabs>
        <w:rPr>
          <w:rFonts w:hint="eastAsia" w:ascii="仿宋_GB2312" w:eastAsia="仿宋_GB2312" w:hAnsiTheme="minorHAnsi" w:cstheme="minorBidi"/>
          <w:sz w:val="32"/>
          <w:szCs w:val="32"/>
          <w14:ligatures w14:val="standardContextual"/>
        </w:rPr>
      </w:pPr>
      <w:r>
        <w:rPr>
          <w:rFonts w:hint="eastAsia" w:ascii="仿宋_GB2312" w:hAnsi="仿宋_GB2312" w:eastAsia="仿宋_GB2312" w:cs="Calibri"/>
          <w:caps/>
          <w:sz w:val="32"/>
          <w:szCs w:val="32"/>
        </w:rPr>
        <w:fldChar w:fldCharType="begin"/>
      </w:r>
      <w:r>
        <w:rPr>
          <w:rFonts w:hint="eastAsia" w:ascii="仿宋_GB2312" w:hAnsi="仿宋_GB2312" w:eastAsia="仿宋_GB2312" w:cs="Calibri"/>
          <w:caps/>
          <w:sz w:val="32"/>
          <w:szCs w:val="32"/>
        </w:rPr>
        <w:instrText xml:space="preserve"> TOC \o "1-2" \h \z \u </w:instrText>
      </w:r>
      <w:r>
        <w:rPr>
          <w:rFonts w:hint="eastAsia" w:ascii="仿宋_GB2312" w:hAnsi="仿宋_GB2312" w:eastAsia="仿宋_GB2312" w:cs="Calibri"/>
          <w:caps/>
          <w:sz w:val="32"/>
          <w:szCs w:val="32"/>
        </w:rPr>
        <w:fldChar w:fldCharType="separate"/>
      </w: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"_Toc167139766"</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一、基本情况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_Toc167139766 \h </w:instrText>
      </w:r>
      <w:r>
        <w:rPr>
          <w:rFonts w:hint="eastAsia" w:ascii="仿宋_GB2312" w:eastAsia="仿宋_GB2312"/>
          <w:sz w:val="32"/>
          <w:szCs w:val="32"/>
        </w:rPr>
        <w:fldChar w:fldCharType="separate"/>
      </w:r>
      <w:r>
        <w:rPr>
          <w:rFonts w:hint="eastAsia" w:ascii="仿宋_GB2312" w:eastAsia="仿宋_GB2312"/>
          <w:sz w:val="32"/>
          <w:szCs w:val="32"/>
        </w:rPr>
        <w:t>1</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"_Toc167139767"</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（一）项目概况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_Toc167139767 \h </w:instrText>
      </w:r>
      <w:r>
        <w:rPr>
          <w:rFonts w:hint="eastAsia" w:ascii="仿宋_GB2312" w:eastAsia="仿宋_GB2312"/>
          <w:sz w:val="32"/>
          <w:szCs w:val="32"/>
        </w:rPr>
        <w:fldChar w:fldCharType="separate"/>
      </w:r>
      <w:r>
        <w:rPr>
          <w:rFonts w:hint="eastAsia" w:ascii="仿宋_GB2312" w:eastAsia="仿宋_GB2312"/>
          <w:sz w:val="32"/>
          <w:szCs w:val="32"/>
        </w:rPr>
        <w:t>1</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"_Toc167139768"</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（二）项目绩效目标</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_Toc167139768 \h </w:instrText>
      </w:r>
      <w:r>
        <w:rPr>
          <w:rFonts w:hint="eastAsia" w:ascii="仿宋_GB2312" w:eastAsia="仿宋_GB2312"/>
          <w:sz w:val="32"/>
          <w:szCs w:val="32"/>
        </w:rPr>
        <w:fldChar w:fldCharType="separate"/>
      </w:r>
      <w:r>
        <w:rPr>
          <w:rFonts w:hint="eastAsia" w:ascii="仿宋_GB2312" w:eastAsia="仿宋_GB2312"/>
          <w:sz w:val="32"/>
          <w:szCs w:val="32"/>
        </w:rPr>
        <w:t>4</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7"/>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"_Toc167139769"</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二、绩效评价工作开展情况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_Toc167139769 \h </w:instrText>
      </w:r>
      <w:r>
        <w:rPr>
          <w:rFonts w:hint="eastAsia" w:ascii="仿宋_GB2312" w:eastAsia="仿宋_GB2312"/>
          <w:sz w:val="32"/>
          <w:szCs w:val="32"/>
        </w:rPr>
        <w:fldChar w:fldCharType="separate"/>
      </w:r>
      <w:r>
        <w:rPr>
          <w:rFonts w:hint="eastAsia" w:ascii="仿宋_GB2312" w:eastAsia="仿宋_GB2312"/>
          <w:sz w:val="32"/>
          <w:szCs w:val="32"/>
        </w:rPr>
        <w:t>6</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"_Toc167139770"</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（一）绩效评价目的、对象</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_Toc167139770 \h </w:instrText>
      </w:r>
      <w:r>
        <w:rPr>
          <w:rFonts w:hint="eastAsia" w:ascii="仿宋_GB2312" w:eastAsia="仿宋_GB2312"/>
          <w:sz w:val="32"/>
          <w:szCs w:val="32"/>
        </w:rPr>
        <w:fldChar w:fldCharType="separate"/>
      </w:r>
      <w:r>
        <w:rPr>
          <w:rFonts w:hint="eastAsia" w:ascii="仿宋_GB2312" w:eastAsia="仿宋_GB2312"/>
          <w:sz w:val="32"/>
          <w:szCs w:val="32"/>
        </w:rPr>
        <w:t>6</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"_Toc167139771"</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eastAsia="仿宋_GB2312"/>
          <w:sz w:val="32"/>
          <w:szCs w:val="32"/>
        </w:rPr>
        <w:t>（二）绩效评价原则、评价方法、评价指标体系</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_Toc167139771 \h </w:instrText>
      </w:r>
      <w:r>
        <w:rPr>
          <w:rFonts w:hint="eastAsia" w:ascii="仿宋_GB2312" w:eastAsia="仿宋_GB2312"/>
          <w:sz w:val="32"/>
          <w:szCs w:val="32"/>
        </w:rPr>
        <w:fldChar w:fldCharType="separate"/>
      </w:r>
      <w:r>
        <w:rPr>
          <w:rFonts w:hint="eastAsia" w:ascii="仿宋_GB2312" w:eastAsia="仿宋_GB2312"/>
          <w:sz w:val="32"/>
          <w:szCs w:val="32"/>
        </w:rPr>
        <w:t>7</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"_Toc167139772"</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caps/>
          <w:sz w:val="32"/>
          <w:szCs w:val="32"/>
        </w:rPr>
        <w:t>（三）绩效评价过程</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_Toc167139772 \h </w:instrText>
      </w:r>
      <w:r>
        <w:rPr>
          <w:rFonts w:hint="eastAsia" w:ascii="仿宋_GB2312" w:eastAsia="仿宋_GB2312"/>
          <w:sz w:val="32"/>
          <w:szCs w:val="32"/>
        </w:rPr>
        <w:fldChar w:fldCharType="separate"/>
      </w:r>
      <w:r>
        <w:rPr>
          <w:rFonts w:hint="eastAsia" w:ascii="仿宋_GB2312" w:eastAsia="仿宋_GB2312"/>
          <w:sz w:val="32"/>
          <w:szCs w:val="32"/>
        </w:rPr>
        <w:t>8</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7"/>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"_Toc167139773"</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三、综合评价结论</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_Toc167139773 \h </w:instrText>
      </w:r>
      <w:r>
        <w:rPr>
          <w:rFonts w:hint="eastAsia" w:ascii="仿宋_GB2312" w:eastAsia="仿宋_GB2312"/>
          <w:sz w:val="32"/>
          <w:szCs w:val="32"/>
        </w:rPr>
        <w:fldChar w:fldCharType="separate"/>
      </w:r>
      <w:r>
        <w:rPr>
          <w:rFonts w:hint="eastAsia" w:ascii="仿宋_GB2312" w:eastAsia="仿宋_GB2312"/>
          <w:sz w:val="32"/>
          <w:szCs w:val="32"/>
        </w:rPr>
        <w:t>9</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7"/>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"_Toc167139774"</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eastAsia="仿宋_GB2312"/>
          <w:sz w:val="32"/>
          <w:szCs w:val="32"/>
        </w:rPr>
        <w:t>四、绩效评价指标分析</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_Toc167139774 \h </w:instrText>
      </w:r>
      <w:r>
        <w:rPr>
          <w:rFonts w:hint="eastAsia" w:ascii="仿宋_GB2312" w:eastAsia="仿宋_GB2312"/>
          <w:sz w:val="32"/>
          <w:szCs w:val="32"/>
        </w:rPr>
        <w:fldChar w:fldCharType="separate"/>
      </w:r>
      <w:r>
        <w:rPr>
          <w:rFonts w:hint="eastAsia" w:ascii="仿宋_GB2312" w:eastAsia="仿宋_GB2312"/>
          <w:sz w:val="32"/>
          <w:szCs w:val="32"/>
        </w:rPr>
        <w:t>10</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"_Toc167139775"</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eastAsia="仿宋_GB2312"/>
          <w:sz w:val="32"/>
          <w:szCs w:val="32"/>
        </w:rPr>
        <w:t>（一）项目决策情况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_Toc167139775 \h </w:instrText>
      </w:r>
      <w:r>
        <w:rPr>
          <w:rFonts w:hint="eastAsia" w:ascii="仿宋_GB2312" w:eastAsia="仿宋_GB2312"/>
          <w:sz w:val="32"/>
          <w:szCs w:val="32"/>
        </w:rPr>
        <w:fldChar w:fldCharType="separate"/>
      </w:r>
      <w:r>
        <w:rPr>
          <w:rFonts w:hint="eastAsia" w:ascii="仿宋_GB2312" w:eastAsia="仿宋_GB2312"/>
          <w:sz w:val="32"/>
          <w:szCs w:val="32"/>
        </w:rPr>
        <w:t>10</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"_Toc167139776"</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宋体" w:eastAsia="仿宋_GB2312" w:cs="宋体"/>
          <w:kern w:val="0"/>
          <w:sz w:val="32"/>
          <w:szCs w:val="32"/>
        </w:rPr>
        <w:t>（二）项目过程情况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_Toc167139776 \h </w:instrText>
      </w:r>
      <w:r>
        <w:rPr>
          <w:rFonts w:hint="eastAsia" w:ascii="仿宋_GB2312" w:eastAsia="仿宋_GB2312"/>
          <w:sz w:val="32"/>
          <w:szCs w:val="32"/>
        </w:rPr>
        <w:fldChar w:fldCharType="separate"/>
      </w:r>
      <w:r>
        <w:rPr>
          <w:rFonts w:hint="eastAsia" w:ascii="仿宋_GB2312" w:eastAsia="仿宋_GB2312"/>
          <w:sz w:val="32"/>
          <w:szCs w:val="32"/>
        </w:rPr>
        <w:t>14</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"_Toc167139777"</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宋体" w:eastAsia="仿宋_GB2312" w:cs="宋体"/>
          <w:kern w:val="0"/>
          <w:sz w:val="32"/>
          <w:szCs w:val="32"/>
        </w:rPr>
        <w:t>（三）项目产出情况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_Toc167139777 \h </w:instrText>
      </w:r>
      <w:r>
        <w:rPr>
          <w:rFonts w:hint="eastAsia" w:ascii="仿宋_GB2312" w:eastAsia="仿宋_GB2312"/>
          <w:sz w:val="32"/>
          <w:szCs w:val="32"/>
        </w:rPr>
        <w:fldChar w:fldCharType="separate"/>
      </w:r>
      <w:r>
        <w:rPr>
          <w:rFonts w:hint="eastAsia" w:ascii="仿宋_GB2312" w:eastAsia="仿宋_GB2312"/>
          <w:sz w:val="32"/>
          <w:szCs w:val="32"/>
        </w:rPr>
        <w:t>17</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"_Toc167139778"</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宋体" w:eastAsia="仿宋_GB2312" w:cs="宋体"/>
          <w:kern w:val="0"/>
          <w:sz w:val="32"/>
          <w:szCs w:val="32"/>
        </w:rPr>
        <w:t>（四）项目效益情况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_Toc167139778 \h </w:instrText>
      </w:r>
      <w:r>
        <w:rPr>
          <w:rFonts w:hint="eastAsia" w:ascii="仿宋_GB2312" w:eastAsia="仿宋_GB2312"/>
          <w:sz w:val="32"/>
          <w:szCs w:val="32"/>
        </w:rPr>
        <w:fldChar w:fldCharType="separate"/>
      </w:r>
      <w:r>
        <w:rPr>
          <w:rFonts w:hint="eastAsia" w:ascii="仿宋_GB2312" w:eastAsia="仿宋_GB2312"/>
          <w:sz w:val="32"/>
          <w:szCs w:val="32"/>
        </w:rPr>
        <w:t>22</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7"/>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"_Toc167139779"</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五、发现的主要问题及原因分析</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_Toc167139779 \h </w:instrText>
      </w:r>
      <w:r>
        <w:rPr>
          <w:rFonts w:hint="eastAsia" w:ascii="仿宋_GB2312" w:eastAsia="仿宋_GB2312"/>
          <w:sz w:val="32"/>
          <w:szCs w:val="32"/>
        </w:rPr>
        <w:fldChar w:fldCharType="separate"/>
      </w:r>
      <w:r>
        <w:rPr>
          <w:rFonts w:hint="eastAsia" w:ascii="仿宋_GB2312" w:eastAsia="仿宋_GB2312"/>
          <w:sz w:val="32"/>
          <w:szCs w:val="32"/>
        </w:rPr>
        <w:t>24</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"_Toc167139780"</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（一）作为延续性项目，项目管理过程中缺乏对管理经验的提炼与归纳，项目验收成果材料可进一步完善</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_Toc167139780 \h </w:instrText>
      </w:r>
      <w:r>
        <w:rPr>
          <w:rFonts w:hint="eastAsia" w:ascii="仿宋_GB2312" w:eastAsia="仿宋_GB2312"/>
          <w:sz w:val="32"/>
          <w:szCs w:val="32"/>
        </w:rPr>
        <w:fldChar w:fldCharType="separate"/>
      </w:r>
      <w:r>
        <w:rPr>
          <w:rFonts w:hint="eastAsia" w:ascii="仿宋_GB2312" w:eastAsia="仿宋_GB2312"/>
          <w:sz w:val="32"/>
          <w:szCs w:val="32"/>
        </w:rPr>
        <w:t>24</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"_Toc167139781"</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（二）项目效益数据的提炼归集</w:t>
      </w:r>
      <w:r>
        <w:rPr>
          <w:rStyle w:val="16"/>
          <w:rFonts w:hint="eastAsia" w:ascii="仿宋_GB2312" w:hAnsi="Times New Roman" w:eastAsia="仿宋_GB2312"/>
          <w:bCs/>
          <w:caps/>
          <w:sz w:val="32"/>
          <w:szCs w:val="32"/>
          <w:highlight w:val="none"/>
        </w:rPr>
        <w:t>工作有待进一步加强</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_Toc167139781 \h </w:instrText>
      </w:r>
      <w:r>
        <w:rPr>
          <w:rFonts w:hint="eastAsia" w:ascii="仿宋_GB2312" w:eastAsia="仿宋_GB2312"/>
          <w:sz w:val="32"/>
          <w:szCs w:val="32"/>
        </w:rPr>
        <w:fldChar w:fldCharType="separate"/>
      </w:r>
      <w:r>
        <w:rPr>
          <w:rFonts w:hint="eastAsia" w:ascii="仿宋_GB2312" w:eastAsia="仿宋_GB2312"/>
          <w:sz w:val="32"/>
          <w:szCs w:val="32"/>
        </w:rPr>
        <w:t>25</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7"/>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"_Toc167139782"</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bCs/>
          <w:caps/>
          <w:sz w:val="32"/>
          <w:szCs w:val="32"/>
        </w:rPr>
        <w:t>六、相关建议</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_Toc167139782 \h </w:instrText>
      </w:r>
      <w:r>
        <w:rPr>
          <w:rFonts w:hint="eastAsia" w:ascii="仿宋_GB2312" w:eastAsia="仿宋_GB2312"/>
          <w:sz w:val="32"/>
          <w:szCs w:val="32"/>
        </w:rPr>
        <w:fldChar w:fldCharType="separate"/>
      </w:r>
      <w:r>
        <w:rPr>
          <w:rFonts w:hint="eastAsia" w:ascii="仿宋_GB2312" w:eastAsia="仿宋_GB2312"/>
          <w:sz w:val="32"/>
          <w:szCs w:val="32"/>
        </w:rPr>
        <w:t>25</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"_Toc167139783"</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eastAsia="仿宋_GB2312"/>
          <w:sz w:val="32"/>
          <w:szCs w:val="32"/>
        </w:rPr>
        <w:t>（一）完善相应流程办法及成果验收材料，进一步加强项目管控力度</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_Toc167139783 \h </w:instrText>
      </w:r>
      <w:r>
        <w:rPr>
          <w:rFonts w:hint="eastAsia" w:ascii="仿宋_GB2312" w:eastAsia="仿宋_GB2312"/>
          <w:sz w:val="32"/>
          <w:szCs w:val="32"/>
        </w:rPr>
        <w:fldChar w:fldCharType="separate"/>
      </w:r>
      <w:r>
        <w:rPr>
          <w:rFonts w:hint="eastAsia" w:ascii="仿宋_GB2312" w:eastAsia="仿宋_GB2312"/>
          <w:sz w:val="32"/>
          <w:szCs w:val="32"/>
        </w:rPr>
        <w:t>25</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pStyle w:val="9"/>
        <w:tabs>
          <w:tab w:val="right" w:leader="dot" w:pos="8296"/>
        </w:tabs>
        <w:rPr>
          <w:rFonts w:hint="eastAsia" w:ascii="仿宋_GB2312" w:eastAsia="仿宋_GB2312" w:hAnsiTheme="minorHAnsi" w:cstheme="minorBidi"/>
          <w:sz w:val="32"/>
          <w:szCs w:val="32"/>
          <w14:ligatures w14:val="standardContextual"/>
        </w:rPr>
      </w:pPr>
      <w:r>
        <w:rPr>
          <w:rStyle w:val="16"/>
          <w:rFonts w:hint="eastAsia" w:ascii="仿宋_GB2312" w:eastAsia="仿宋_GB2312"/>
          <w:sz w:val="32"/>
          <w:szCs w:val="32"/>
        </w:rPr>
        <w:fldChar w:fldCharType="begin"/>
      </w:r>
      <w:r>
        <w:rPr>
          <w:rStyle w:val="16"/>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"_Toc167139784"</w:instrText>
      </w:r>
      <w:r>
        <w:rPr>
          <w:rStyle w:val="16"/>
          <w:rFonts w:hint="eastAsia" w:ascii="仿宋_GB2312" w:eastAsia="仿宋_GB2312"/>
          <w:sz w:val="32"/>
          <w:szCs w:val="32"/>
        </w:rPr>
        <w:instrText xml:space="preserve"> </w:instrText>
      </w:r>
      <w:r>
        <w:rPr>
          <w:rStyle w:val="16"/>
          <w:rFonts w:hint="eastAsia" w:ascii="仿宋_GB2312" w:eastAsia="仿宋_GB2312"/>
          <w:sz w:val="32"/>
          <w:szCs w:val="32"/>
        </w:rPr>
        <w:fldChar w:fldCharType="separate"/>
      </w:r>
      <w:r>
        <w:rPr>
          <w:rStyle w:val="16"/>
          <w:rFonts w:hint="eastAsia" w:ascii="仿宋_GB2312" w:hAnsi="Times New Roman" w:eastAsia="仿宋_GB2312"/>
          <w:caps/>
          <w:sz w:val="32"/>
          <w:szCs w:val="32"/>
        </w:rPr>
        <w:t>（二）加强效益数据挖掘分析，进一步彰显部门履职成效</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_Toc167139784 \h </w:instrText>
      </w:r>
      <w:r>
        <w:rPr>
          <w:rFonts w:hint="eastAsia" w:ascii="仿宋_GB2312" w:eastAsia="仿宋_GB2312"/>
          <w:sz w:val="32"/>
          <w:szCs w:val="32"/>
        </w:rPr>
        <w:fldChar w:fldCharType="separate"/>
      </w:r>
      <w:r>
        <w:rPr>
          <w:rFonts w:hint="eastAsia" w:ascii="仿宋_GB2312" w:eastAsia="仿宋_GB2312"/>
          <w:sz w:val="32"/>
          <w:szCs w:val="32"/>
        </w:rPr>
        <w:t>26</w:t>
      </w:r>
      <w:r>
        <w:rPr>
          <w:rFonts w:hint="eastAsia" w:ascii="仿宋_GB2312" w:eastAsia="仿宋_GB2312"/>
          <w:sz w:val="32"/>
          <w:szCs w:val="32"/>
        </w:rPr>
        <w:fldChar w:fldCharType="end"/>
      </w:r>
      <w:r>
        <w:rPr>
          <w:rStyle w:val="16"/>
          <w:rFonts w:hint="eastAsia" w:ascii="仿宋_GB2312" w:eastAsia="仿宋_GB2312"/>
          <w:sz w:val="32"/>
          <w:szCs w:val="32"/>
        </w:rPr>
        <w:fldChar w:fldCharType="end"/>
      </w:r>
    </w:p>
    <w:p>
      <w:pPr>
        <w:adjustRightInd w:val="0"/>
        <w:snapToGrid w:val="0"/>
        <w:spacing w:line="560" w:lineRule="exact"/>
        <w:rPr>
          <w:rFonts w:ascii="仿宋_GB2312" w:hAnsi="Times New Roman" w:eastAsia="仿宋_GB2312"/>
          <w:b/>
          <w:caps/>
          <w:w w:val="90"/>
          <w:sz w:val="32"/>
          <w:szCs w:val="32"/>
        </w:rPr>
        <w:sectPr>
          <w:footerReference r:id="rId5" w:type="default"/>
          <w:pgSz w:w="11906" w:h="16838"/>
          <w:pgMar w:top="1440" w:right="1800" w:bottom="1440" w:left="1800" w:header="851" w:footer="992" w:gutter="0"/>
          <w:pgNumType w:fmt="upperRoman" w:start="1"/>
          <w:cols w:space="425" w:num="1"/>
          <w:docGrid w:type="lines" w:linePitch="312" w:charSpace="0"/>
        </w:sectPr>
      </w:pPr>
      <w:r>
        <w:rPr>
          <w:rFonts w:hint="eastAsia" w:ascii="仿宋_GB2312" w:hAnsi="仿宋_GB2312" w:eastAsia="仿宋_GB2312" w:cs="Calibri"/>
          <w:caps/>
          <w:sz w:val="32"/>
          <w:szCs w:val="32"/>
        </w:rPr>
        <w:fldChar w:fldCharType="end"/>
      </w:r>
    </w:p>
    <w:p>
      <w:pPr>
        <w:adjustRightInd w:val="0"/>
        <w:snapToGrid w:val="0"/>
        <w:spacing w:line="560" w:lineRule="exact"/>
        <w:ind w:firstLine="720" w:firstLineChars="200"/>
        <w:jc w:val="center"/>
        <w:rPr>
          <w:rFonts w:ascii="华文中宋" w:hAnsi="华文中宋" w:eastAsia="华文中宋"/>
          <w:bCs/>
          <w:sz w:val="36"/>
          <w:szCs w:val="44"/>
        </w:rPr>
        <w:sectPr>
          <w:footerReference r:id="rId6" w:type="default"/>
          <w:footnotePr>
            <w:numFmt w:val="decimalEnclosedCircleChinese"/>
          </w:footnotePr>
          <w:type w:val="continuous"/>
          <w:pgSz w:w="11906" w:h="16838"/>
          <w:pgMar w:top="1440" w:right="1800" w:bottom="1440" w:left="1800" w:header="851" w:footer="992" w:gutter="0"/>
          <w:pgNumType w:start="1"/>
          <w:cols w:space="425" w:num="1"/>
          <w:docGrid w:type="lines" w:linePitch="312" w:charSpace="0"/>
        </w:sectPr>
      </w:pPr>
    </w:p>
    <w:p>
      <w:pPr>
        <w:adjustRightInd w:val="0"/>
        <w:snapToGrid w:val="0"/>
        <w:spacing w:line="560" w:lineRule="exact"/>
        <w:ind w:firstLine="720" w:firstLineChars="200"/>
        <w:jc w:val="center"/>
        <w:rPr>
          <w:rFonts w:ascii="华文中宋" w:hAnsi="华文中宋" w:eastAsia="华文中宋"/>
          <w:bCs/>
          <w:sz w:val="36"/>
          <w:szCs w:val="44"/>
        </w:rPr>
      </w:pPr>
      <w:r>
        <w:rPr>
          <w:rFonts w:ascii="华文中宋" w:hAnsi="华文中宋" w:eastAsia="华文中宋"/>
          <w:bCs/>
          <w:sz w:val="36"/>
          <w:szCs w:val="44"/>
        </w:rPr>
        <w:t>202</w:t>
      </w:r>
      <w:r>
        <w:rPr>
          <w:rFonts w:hint="eastAsia" w:ascii="华文中宋" w:hAnsi="华文中宋" w:eastAsia="华文中宋"/>
          <w:bCs/>
          <w:sz w:val="36"/>
          <w:szCs w:val="44"/>
        </w:rPr>
        <w:t>3年度财务综合服务项目</w:t>
      </w:r>
    </w:p>
    <w:p>
      <w:pPr>
        <w:adjustRightInd w:val="0"/>
        <w:snapToGrid w:val="0"/>
        <w:spacing w:line="560" w:lineRule="exact"/>
        <w:ind w:firstLine="720" w:firstLineChars="200"/>
        <w:jc w:val="center"/>
        <w:rPr>
          <w:rFonts w:ascii="华文中宋" w:hAnsi="华文中宋" w:eastAsia="华文中宋"/>
          <w:szCs w:val="32"/>
        </w:rPr>
      </w:pPr>
      <w:r>
        <w:rPr>
          <w:rFonts w:hint="eastAsia" w:ascii="华文中宋" w:hAnsi="华文中宋" w:eastAsia="华文中宋"/>
          <w:bCs/>
          <w:sz w:val="36"/>
          <w:szCs w:val="44"/>
        </w:rPr>
        <w:t>绩效评价报告</w:t>
      </w:r>
    </w:p>
    <w:p>
      <w:pPr>
        <w:adjustRightInd w:val="0"/>
        <w:snapToGrid w:val="0"/>
        <w:spacing w:line="560" w:lineRule="exact"/>
        <w:ind w:firstLine="640" w:firstLineChars="200"/>
        <w:rPr>
          <w:rFonts w:ascii="仿宋_GB2312" w:hAnsi="仿宋_GB2312" w:eastAsia="仿宋_GB2312" w:cs="仿宋_GB2312"/>
          <w:sz w:val="32"/>
          <w:szCs w:val="32"/>
        </w:rPr>
      </w:pPr>
    </w:p>
    <w:p>
      <w:pPr>
        <w:adjustRightInd w:val="0"/>
        <w:snapToGrid w:val="0"/>
        <w:spacing w:line="560" w:lineRule="exact"/>
        <w:ind w:firstLine="640" w:firstLineChars="200"/>
        <w:rPr>
          <w:rFonts w:ascii="仿宋_GB2312" w:hAnsi="仿宋_GB2312" w:eastAsia="仿宋_GB2312" w:cs="仿宋_GB2312"/>
          <w:snapToGrid w:val="0"/>
          <w:kern w:val="0"/>
          <w:sz w:val="32"/>
          <w:szCs w:val="32"/>
          <w:lang w:eastAsia="zh-Hans"/>
        </w:rPr>
      </w:pPr>
      <w:r>
        <w:rPr>
          <w:rFonts w:hint="eastAsia" w:ascii="仿宋_GB2312" w:hAnsi="仿宋_GB2312" w:eastAsia="仿宋_GB2312" w:cs="仿宋_GB2312"/>
          <w:snapToGrid w:val="0"/>
          <w:kern w:val="0"/>
          <w:sz w:val="32"/>
          <w:szCs w:val="32"/>
        </w:rPr>
        <w:t>根据《中华人民共和国预算法》规定，按照中共中央、国务院《关于全面实施预算绩效管理的意见》（中发〔2018〕34号）、《北京市项目支出绩效评价管理办法》（京财绩效〔2020〕2</w:t>
      </w:r>
      <w:r>
        <w:rPr>
          <w:rFonts w:ascii="仿宋_GB2312" w:hAnsi="仿宋_GB2312" w:eastAsia="仿宋_GB2312" w:cs="仿宋_GB2312"/>
          <w:snapToGrid w:val="0"/>
          <w:kern w:val="0"/>
          <w:sz w:val="32"/>
          <w:szCs w:val="32"/>
        </w:rPr>
        <w:t>146</w:t>
      </w:r>
      <w:r>
        <w:rPr>
          <w:rFonts w:hint="eastAsia" w:ascii="仿宋_GB2312" w:hAnsi="仿宋_GB2312" w:eastAsia="仿宋_GB2312" w:cs="仿宋_GB2312"/>
          <w:snapToGrid w:val="0"/>
          <w:kern w:val="0"/>
          <w:sz w:val="32"/>
          <w:szCs w:val="32"/>
        </w:rPr>
        <w:t>号）</w:t>
      </w:r>
      <w:bookmarkStart w:id="0" w:name="_Hlk130137300"/>
      <w:r>
        <w:rPr>
          <w:rFonts w:hint="eastAsia" w:ascii="仿宋_GB2312" w:hAnsi="仿宋_GB2312" w:eastAsia="仿宋_GB2312" w:cs="仿宋_GB2312"/>
          <w:snapToGrid w:val="0"/>
          <w:kern w:val="0"/>
          <w:sz w:val="32"/>
          <w:szCs w:val="32"/>
        </w:rPr>
        <w:t>、《北京市市级政府购买服务预算绩效管理办法》（京财综〔2024〕2</w:t>
      </w:r>
      <w:r>
        <w:rPr>
          <w:rFonts w:ascii="仿宋_GB2312" w:hAnsi="仿宋_GB2312" w:eastAsia="仿宋_GB2312" w:cs="仿宋_GB2312"/>
          <w:snapToGrid w:val="0"/>
          <w:kern w:val="0"/>
          <w:sz w:val="32"/>
          <w:szCs w:val="32"/>
        </w:rPr>
        <w:t>1</w:t>
      </w:r>
      <w:r>
        <w:rPr>
          <w:rFonts w:hint="eastAsia" w:ascii="仿宋_GB2312" w:hAnsi="仿宋_GB2312" w:eastAsia="仿宋_GB2312" w:cs="仿宋_GB2312"/>
          <w:snapToGrid w:val="0"/>
          <w:kern w:val="0"/>
          <w:sz w:val="32"/>
          <w:szCs w:val="32"/>
        </w:rPr>
        <w:t>3号）及北京市财政局（以下简称“市财政局”）《关于开展2</w:t>
      </w:r>
      <w:r>
        <w:rPr>
          <w:rFonts w:ascii="仿宋_GB2312" w:hAnsi="仿宋_GB2312" w:eastAsia="仿宋_GB2312" w:cs="仿宋_GB2312"/>
          <w:snapToGrid w:val="0"/>
          <w:kern w:val="0"/>
          <w:sz w:val="32"/>
          <w:szCs w:val="32"/>
        </w:rPr>
        <w:t>02</w:t>
      </w:r>
      <w:r>
        <w:rPr>
          <w:rFonts w:hint="eastAsia" w:ascii="仿宋_GB2312" w:hAnsi="仿宋_GB2312" w:eastAsia="仿宋_GB2312" w:cs="仿宋_GB2312"/>
          <w:snapToGrid w:val="0"/>
          <w:kern w:val="0"/>
          <w:sz w:val="32"/>
          <w:szCs w:val="32"/>
        </w:rPr>
        <w:t>4年</w:t>
      </w:r>
      <w:r>
        <w:rPr>
          <w:rFonts w:ascii="仿宋_GB2312" w:hAnsi="仿宋_GB2312" w:eastAsia="仿宋_GB2312" w:cs="仿宋_GB2312"/>
          <w:snapToGrid w:val="0"/>
          <w:kern w:val="0"/>
          <w:sz w:val="32"/>
          <w:szCs w:val="32"/>
        </w:rPr>
        <w:t>预算绩效管理</w:t>
      </w:r>
      <w:r>
        <w:rPr>
          <w:rFonts w:hint="eastAsia" w:ascii="仿宋_GB2312" w:hAnsi="仿宋_GB2312" w:eastAsia="仿宋_GB2312" w:cs="仿宋_GB2312"/>
          <w:snapToGrid w:val="0"/>
          <w:kern w:val="0"/>
          <w:sz w:val="32"/>
          <w:szCs w:val="32"/>
        </w:rPr>
        <w:t>相关</w:t>
      </w:r>
      <w:r>
        <w:rPr>
          <w:rFonts w:ascii="仿宋_GB2312" w:hAnsi="仿宋_GB2312" w:eastAsia="仿宋_GB2312" w:cs="仿宋_GB2312"/>
          <w:snapToGrid w:val="0"/>
          <w:kern w:val="0"/>
          <w:sz w:val="32"/>
          <w:szCs w:val="32"/>
        </w:rPr>
        <w:t>工作的</w:t>
      </w:r>
      <w:r>
        <w:rPr>
          <w:rFonts w:hint="eastAsia" w:ascii="仿宋_GB2312" w:hAnsi="仿宋_GB2312" w:eastAsia="仿宋_GB2312" w:cs="仿宋_GB2312"/>
          <w:snapToGrid w:val="0"/>
          <w:kern w:val="0"/>
          <w:sz w:val="32"/>
          <w:szCs w:val="32"/>
        </w:rPr>
        <w:t>函</w:t>
      </w:r>
      <w:r>
        <w:rPr>
          <w:rFonts w:ascii="仿宋_GB2312" w:hAnsi="仿宋_GB2312" w:eastAsia="仿宋_GB2312" w:cs="仿宋_GB2312"/>
          <w:snapToGrid w:val="0"/>
          <w:kern w:val="0"/>
          <w:sz w:val="32"/>
          <w:szCs w:val="32"/>
        </w:rPr>
        <w:t>》</w:t>
      </w:r>
      <w:r>
        <w:rPr>
          <w:rFonts w:hint="eastAsia" w:ascii="仿宋_GB2312" w:hAnsi="仿宋_GB2312" w:eastAsia="仿宋_GB2312" w:cs="仿宋_GB2312"/>
          <w:snapToGrid w:val="0"/>
          <w:kern w:val="0"/>
          <w:sz w:val="32"/>
          <w:szCs w:val="32"/>
        </w:rPr>
        <w:t>等文件要求</w:t>
      </w:r>
      <w:bookmarkEnd w:id="0"/>
      <w:r>
        <w:rPr>
          <w:rFonts w:hint="eastAsia" w:ascii="仿宋_GB2312" w:hAnsi="仿宋_GB2312" w:eastAsia="仿宋_GB2312" w:cs="仿宋_GB2312"/>
          <w:snapToGrid w:val="0"/>
          <w:kern w:val="0"/>
          <w:sz w:val="32"/>
          <w:szCs w:val="32"/>
        </w:rPr>
        <w:t>，受北京市政务服务管理局（以下简称“市政务服务局”）委托，北京立瑞会计师事务所（普通合伙）（以下简称“评价机构”）对市政务服务局本级2023年度财务综合服务项目开展了绩效评价，现将有关情况报告如下。</w:t>
      </w:r>
    </w:p>
    <w:p>
      <w:pPr>
        <w:adjustRightInd w:val="0"/>
        <w:snapToGrid w:val="0"/>
        <w:spacing w:line="560" w:lineRule="exact"/>
        <w:ind w:firstLine="640" w:firstLineChars="200"/>
        <w:outlineLvl w:val="0"/>
        <w:rPr>
          <w:rFonts w:ascii="Times New Roman" w:hAnsi="Times New Roman" w:eastAsia="黑体"/>
          <w:bCs/>
          <w:caps/>
          <w:sz w:val="32"/>
          <w:szCs w:val="32"/>
        </w:rPr>
      </w:pPr>
      <w:bookmarkStart w:id="1" w:name="_Toc167139766"/>
      <w:bookmarkStart w:id="2" w:name="_Toc27839"/>
      <w:r>
        <w:rPr>
          <w:rFonts w:ascii="Times New Roman" w:hAnsi="Times New Roman" w:eastAsia="黑体"/>
          <w:bCs/>
          <w:caps/>
          <w:sz w:val="32"/>
          <w:szCs w:val="32"/>
        </w:rPr>
        <w:t>一、基本情况</w:t>
      </w:r>
      <w:bookmarkEnd w:id="1"/>
      <w:bookmarkEnd w:id="2"/>
    </w:p>
    <w:p>
      <w:pPr>
        <w:adjustRightInd w:val="0"/>
        <w:snapToGrid w:val="0"/>
        <w:spacing w:line="560" w:lineRule="exact"/>
        <w:ind w:firstLine="640" w:firstLineChars="200"/>
        <w:outlineLvl w:val="1"/>
        <w:rPr>
          <w:rFonts w:ascii="Times New Roman" w:hAnsi="Times New Roman" w:eastAsia="楷体"/>
          <w:bCs/>
          <w:caps/>
          <w:sz w:val="32"/>
          <w:szCs w:val="32"/>
        </w:rPr>
      </w:pPr>
      <w:bookmarkStart w:id="3" w:name="_Toc167139767"/>
      <w:bookmarkStart w:id="4" w:name="_Toc30481"/>
      <w:r>
        <w:rPr>
          <w:rFonts w:ascii="Times New Roman" w:hAnsi="Times New Roman" w:eastAsia="楷体"/>
          <w:bCs/>
          <w:caps/>
          <w:sz w:val="32"/>
          <w:szCs w:val="32"/>
        </w:rPr>
        <w:t>（一）项目概况</w:t>
      </w:r>
      <w:bookmarkEnd w:id="3"/>
      <w:bookmarkEnd w:id="4"/>
    </w:p>
    <w:p>
      <w:pPr>
        <w:adjustRightInd w:val="0"/>
        <w:snapToGrid w:val="0"/>
        <w:spacing w:line="560" w:lineRule="exact"/>
        <w:ind w:firstLine="640" w:firstLineChars="200"/>
        <w:outlineLvl w:val="2"/>
        <w:rPr>
          <w:rFonts w:ascii="仿宋_GB2312" w:eastAsia="仿宋_GB2312"/>
          <w:sz w:val="32"/>
          <w:szCs w:val="32"/>
        </w:rPr>
      </w:pPr>
      <w:r>
        <w:rPr>
          <w:rFonts w:ascii="仿宋_GB2312" w:eastAsia="仿宋_GB2312"/>
          <w:sz w:val="32"/>
          <w:szCs w:val="32"/>
        </w:rPr>
        <w:t>1.立项背景</w:t>
      </w:r>
    </w:p>
    <w:p>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sz w:val="32"/>
          <w:szCs w:val="32"/>
        </w:rPr>
        <w:t>财务管理工作是政府机关治理体系和治理能力的重要组成部分，是保障政府机关有效管理和实现高质量发展的前提基础。通过有效的财务绩效管理，政府机关能够确保公共资源的合理利用和分配，提升财政收支平衡，增强财务透明度和问责制，进而提升政府的治理效能和公信力。</w:t>
      </w:r>
      <w:r>
        <w:rPr>
          <w:rFonts w:ascii="仿宋_GB2312" w:eastAsia="仿宋_GB2312"/>
          <w:sz w:val="32"/>
          <w:szCs w:val="32"/>
        </w:rPr>
        <w:t>全面健全财务监督服务体系是</w:t>
      </w:r>
      <w:r>
        <w:rPr>
          <w:rFonts w:hint="eastAsia" w:ascii="仿宋_GB2312" w:eastAsia="仿宋_GB2312"/>
          <w:sz w:val="32"/>
          <w:szCs w:val="32"/>
        </w:rPr>
        <w:t>部门</w:t>
      </w:r>
      <w:r>
        <w:rPr>
          <w:rFonts w:ascii="仿宋_GB2312" w:eastAsia="仿宋_GB2312"/>
          <w:sz w:val="32"/>
          <w:szCs w:val="32"/>
        </w:rPr>
        <w:t>财务管理发展的关键，</w:t>
      </w:r>
      <w:r>
        <w:rPr>
          <w:rFonts w:hint="eastAsia" w:ascii="仿宋_GB2312" w:eastAsia="仿宋_GB2312"/>
          <w:sz w:val="32"/>
          <w:szCs w:val="32"/>
        </w:rPr>
        <w:t>在部门开展自身分析、构建财务制度等</w:t>
      </w:r>
      <w:r>
        <w:rPr>
          <w:rFonts w:ascii="仿宋_GB2312" w:eastAsia="仿宋_GB2312"/>
          <w:sz w:val="32"/>
          <w:szCs w:val="32"/>
        </w:rPr>
        <w:t>管理</w:t>
      </w:r>
      <w:r>
        <w:rPr>
          <w:rFonts w:hint="eastAsia" w:ascii="仿宋_GB2312" w:eastAsia="仿宋_GB2312"/>
          <w:sz w:val="32"/>
          <w:szCs w:val="32"/>
        </w:rPr>
        <w:t>内容的基础上</w:t>
      </w:r>
      <w:r>
        <w:rPr>
          <w:rFonts w:ascii="仿宋_GB2312" w:eastAsia="仿宋_GB2312"/>
          <w:sz w:val="32"/>
          <w:szCs w:val="32"/>
        </w:rPr>
        <w:t>，通过外部监督、稽核、分析有助于</w:t>
      </w:r>
      <w:r>
        <w:rPr>
          <w:rFonts w:hint="eastAsia" w:ascii="仿宋_GB2312" w:eastAsia="仿宋_GB2312"/>
          <w:sz w:val="32"/>
          <w:szCs w:val="32"/>
        </w:rPr>
        <w:t>部门提升整体的财务管理能力及专业业务水平，</w:t>
      </w:r>
      <w:r>
        <w:rPr>
          <w:rFonts w:hint="eastAsia" w:ascii="仿宋_GB2312" w:eastAsia="仿宋_GB2312"/>
          <w:sz w:val="32"/>
          <w:szCs w:val="32"/>
          <w:lang w:val="en-US" w:eastAsia="zh-CN"/>
        </w:rPr>
        <w:t>促进</w:t>
      </w:r>
      <w:r>
        <w:rPr>
          <w:rFonts w:hint="eastAsia" w:ascii="仿宋_GB2312" w:eastAsia="仿宋_GB2312"/>
          <w:sz w:val="32"/>
          <w:szCs w:val="32"/>
        </w:rPr>
        <w:t>财务、业务处室间的有效衔接及双向支撑，进而保障各业务处室各项政务服务工作顺利开展、促进部门履职成效的</w:t>
      </w:r>
      <w:r>
        <w:rPr>
          <w:rFonts w:hint="eastAsia" w:ascii="仿宋_GB2312" w:eastAsia="仿宋_GB2312"/>
          <w:sz w:val="32"/>
          <w:szCs w:val="32"/>
          <w:lang w:val="en-US" w:eastAsia="zh-CN"/>
        </w:rPr>
        <w:t>提升</w:t>
      </w:r>
      <w:r>
        <w:rPr>
          <w:rFonts w:hint="eastAsia" w:ascii="仿宋_GB2312" w:eastAsia="仿宋_GB2312"/>
          <w:sz w:val="32"/>
          <w:szCs w:val="32"/>
        </w:rPr>
        <w:t>。</w:t>
      </w:r>
    </w:p>
    <w:p>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sz w:val="32"/>
          <w:szCs w:val="32"/>
        </w:rPr>
        <w:t>基于上述管理及现实需求，同时，为落实《关于印发</w:t>
      </w:r>
      <w:r>
        <w:rPr>
          <w:rFonts w:hint="eastAsia" w:ascii="仿宋_GB2312" w:eastAsia="仿宋_GB2312"/>
          <w:sz w:val="32"/>
          <w:szCs w:val="32"/>
          <w:lang w:eastAsia="zh-CN"/>
        </w:rPr>
        <w:t>〈</w:t>
      </w:r>
      <w:r>
        <w:rPr>
          <w:rFonts w:hint="eastAsia" w:ascii="仿宋_GB2312" w:eastAsia="仿宋_GB2312"/>
          <w:sz w:val="32"/>
          <w:szCs w:val="32"/>
        </w:rPr>
        <w:t>行政事业单位内部控制规范（试行）</w:t>
      </w:r>
      <w:r>
        <w:rPr>
          <w:rFonts w:hint="eastAsia" w:ascii="仿宋_GB2312" w:eastAsia="仿宋_GB2312"/>
          <w:sz w:val="32"/>
          <w:szCs w:val="32"/>
          <w:lang w:eastAsia="zh-CN"/>
        </w:rPr>
        <w:t>〉</w:t>
      </w:r>
      <w:r>
        <w:rPr>
          <w:rFonts w:hint="eastAsia" w:ascii="仿宋_GB2312" w:eastAsia="仿宋_GB2312"/>
          <w:sz w:val="32"/>
          <w:szCs w:val="32"/>
        </w:rPr>
        <w:t>的通知》（财会</w:t>
      </w:r>
      <w:r>
        <w:rPr>
          <w:rFonts w:hint="eastAsia" w:ascii="仿宋_GB2312" w:hAnsi="等线" w:eastAsia="仿宋_GB2312"/>
          <w:kern w:val="2"/>
          <w:sz w:val="32"/>
          <w:szCs w:val="32"/>
        </w:rPr>
        <w:t>〔2012〕</w:t>
      </w:r>
      <w:r>
        <w:rPr>
          <w:rFonts w:hint="eastAsia" w:ascii="仿宋_GB2312" w:eastAsia="仿宋_GB2312"/>
          <w:sz w:val="32"/>
          <w:szCs w:val="32"/>
        </w:rPr>
        <w:t>21号）、《北京市财政投资项目评审操作规程（试行）</w:t>
      </w:r>
      <w:r>
        <w:rPr>
          <w:rFonts w:hint="eastAsia" w:ascii="仿宋_GB2312" w:eastAsia="仿宋_GB2312"/>
          <w:sz w:val="32"/>
          <w:szCs w:val="32"/>
          <w:lang w:eastAsia="zh-CN"/>
        </w:rPr>
        <w:t>》《</w:t>
      </w:r>
      <w:r>
        <w:rPr>
          <w:rFonts w:ascii="仿宋_GB2312" w:eastAsia="仿宋_GB2312"/>
          <w:sz w:val="32"/>
          <w:szCs w:val="32"/>
        </w:rPr>
        <w:t>北京市人民政府关于全面实施预算绩效管理的实施意见》（中发〔2019〕12号）</w:t>
      </w:r>
      <w:r>
        <w:rPr>
          <w:rFonts w:hint="eastAsia" w:ascii="仿宋_GB2312" w:eastAsia="仿宋_GB2312"/>
          <w:sz w:val="32"/>
          <w:szCs w:val="32"/>
        </w:rPr>
        <w:t>、《北京市财政局关于印发</w:t>
      </w:r>
      <w:r>
        <w:rPr>
          <w:rFonts w:hint="eastAsia" w:ascii="仿宋_GB2312" w:eastAsia="仿宋_GB2312"/>
          <w:sz w:val="32"/>
          <w:szCs w:val="32"/>
          <w:lang w:eastAsia="zh-CN"/>
        </w:rPr>
        <w:t>〈</w:t>
      </w:r>
      <w:r>
        <w:rPr>
          <w:rFonts w:hint="eastAsia" w:ascii="仿宋_GB2312" w:eastAsia="仿宋_GB2312"/>
          <w:sz w:val="32"/>
          <w:szCs w:val="32"/>
        </w:rPr>
        <w:t>北京市项目支出绩效评价管理办法</w:t>
      </w:r>
      <w:r>
        <w:rPr>
          <w:rFonts w:hint="eastAsia" w:ascii="仿宋_GB2312" w:eastAsia="仿宋_GB2312"/>
          <w:sz w:val="32"/>
          <w:szCs w:val="32"/>
          <w:lang w:eastAsia="zh-CN"/>
        </w:rPr>
        <w:t>〉</w:t>
      </w:r>
      <w:r>
        <w:rPr>
          <w:rFonts w:hint="eastAsia" w:ascii="仿宋_GB2312" w:eastAsia="仿宋_GB2312"/>
          <w:sz w:val="32"/>
          <w:szCs w:val="32"/>
        </w:rPr>
        <w:t>的通知》（京财绩效〔2020〕2146号）、《财政部关于印发行政事业单位资产清查核实管理办法》《会计电算化工作规范》等要求，市政务服务局财务处在前期项目立项、实施的基础上，于2022年继续申报2023年度财务综合服务项目。</w:t>
      </w:r>
    </w:p>
    <w:p>
      <w:pPr>
        <w:adjustRightInd w:val="0"/>
        <w:snapToGrid w:val="0"/>
        <w:spacing w:line="560" w:lineRule="exact"/>
        <w:ind w:firstLine="640" w:firstLineChars="200"/>
        <w:outlineLvl w:val="2"/>
        <w:rPr>
          <w:rFonts w:ascii="仿宋_GB2312" w:eastAsia="仿宋_GB2312"/>
          <w:sz w:val="32"/>
          <w:szCs w:val="32"/>
        </w:rPr>
      </w:pPr>
      <w:r>
        <w:rPr>
          <w:rFonts w:ascii="仿宋_GB2312" w:eastAsia="仿宋_GB2312"/>
          <w:sz w:val="32"/>
          <w:szCs w:val="32"/>
        </w:rPr>
        <w:t>2.</w:t>
      </w:r>
      <w:r>
        <w:rPr>
          <w:rFonts w:hint="eastAsia" w:ascii="仿宋_GB2312" w:eastAsia="仿宋_GB2312"/>
          <w:sz w:val="32"/>
          <w:szCs w:val="32"/>
        </w:rPr>
        <w:t>项目主要内容及实施情况</w:t>
      </w:r>
    </w:p>
    <w:p>
      <w:pPr>
        <w:adjustRightInd w:val="0"/>
        <w:snapToGrid w:val="0"/>
        <w:spacing w:line="560" w:lineRule="exact"/>
        <w:ind w:firstLine="640" w:firstLineChars="200"/>
        <w:rPr>
          <w:rFonts w:ascii="仿宋_GB2312" w:hAnsi="Times New Roman" w:eastAsia="仿宋_GB2312"/>
          <w:kern w:val="0"/>
          <w:sz w:val="32"/>
          <w:szCs w:val="32"/>
          <w:lang w:bidi="zh-CN"/>
        </w:rPr>
      </w:pPr>
      <w:r>
        <w:rPr>
          <w:rFonts w:hint="eastAsia" w:ascii="仿宋_GB2312" w:hAnsi="Times New Roman" w:eastAsia="仿宋_GB2312"/>
          <w:kern w:val="0"/>
          <w:sz w:val="32"/>
          <w:szCs w:val="32"/>
          <w:lang w:bidi="zh-CN"/>
        </w:rPr>
        <w:t>财务综合服务项目由市政务服务局财务处负责预算申报、管理监督及第三方服务商确定，通过政府采购竞争性磋商及内部采购单一来源采购等方式确定的第三方服务商</w:t>
      </w:r>
      <w:r>
        <w:rPr>
          <w:rFonts w:hint="eastAsia" w:ascii="仿宋_GB2312" w:hAnsi="Times New Roman" w:eastAsia="仿宋_GB2312"/>
          <w:kern w:val="0"/>
          <w:sz w:val="32"/>
          <w:szCs w:val="32"/>
          <w:lang w:val="en-US" w:bidi="zh-CN"/>
        </w:rPr>
        <w:t>协助市政务服务局财务处</w:t>
      </w:r>
      <w:r>
        <w:rPr>
          <w:rFonts w:hint="eastAsia" w:ascii="仿宋_GB2312" w:hAnsi="Times New Roman" w:eastAsia="仿宋_GB2312"/>
          <w:kern w:val="0"/>
          <w:sz w:val="32"/>
          <w:szCs w:val="32"/>
          <w:lang w:bidi="zh-CN"/>
        </w:rPr>
        <w:t>落实财政各项政策、开展相应财务服务与提升工作。项目包括六个子项，分别为财务会计业务规范提升服务、内部审计服务、内部控制管理服务、预算评审、预算绩效管理及财务软件信息管理系统运维服务，各子项具体内容见下表1。截至2023年12月底，项目计划年度内开展内容均已完成。</w:t>
      </w:r>
    </w:p>
    <w:p>
      <w:pPr>
        <w:adjustRightInd w:val="0"/>
        <w:snapToGrid w:val="0"/>
        <w:spacing w:line="560" w:lineRule="exact"/>
        <w:ind w:firstLine="640" w:firstLineChars="200"/>
        <w:rPr>
          <w:rFonts w:hint="eastAsia" w:ascii="仿宋_GB2312" w:hAnsi="Times New Roman" w:eastAsia="仿宋_GB2312"/>
          <w:kern w:val="0"/>
          <w:sz w:val="32"/>
          <w:szCs w:val="32"/>
          <w:lang w:bidi="zh-CN"/>
        </w:rPr>
      </w:pPr>
    </w:p>
    <w:p>
      <w:pPr>
        <w:adjustRightInd w:val="0"/>
        <w:snapToGrid w:val="0"/>
        <w:spacing w:line="560" w:lineRule="exact"/>
        <w:jc w:val="center"/>
        <w:rPr>
          <w:rFonts w:ascii="黑体" w:hAnsi="黑体" w:eastAsia="黑体"/>
          <w:kern w:val="0"/>
          <w:sz w:val="28"/>
          <w:szCs w:val="28"/>
          <w:lang w:bidi="zh-CN"/>
        </w:rPr>
      </w:pPr>
      <w:r>
        <w:rPr>
          <w:rFonts w:hint="eastAsia" w:ascii="黑体" w:hAnsi="黑体" w:eastAsia="黑体"/>
          <w:kern w:val="0"/>
          <w:sz w:val="28"/>
          <w:szCs w:val="28"/>
          <w:lang w:bidi="zh-CN"/>
        </w:rPr>
        <w:t>表1：财务综合服务项目6个子项具体计划内容一览表</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4"/>
        <w:gridCol w:w="1824"/>
        <w:gridCol w:w="56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blHeader/>
          <w:jc w:val="center"/>
        </w:trPr>
        <w:tc>
          <w:tcPr>
            <w:tcW w:w="595" w:type="pct"/>
            <w:vAlign w:val="center"/>
          </w:tcPr>
          <w:p>
            <w:pPr>
              <w:adjustRightInd w:val="0"/>
              <w:snapToGrid w:val="0"/>
              <w:jc w:val="center"/>
              <w:rPr>
                <w:rFonts w:ascii="宋体" w:hAnsi="宋体" w:eastAsia="宋体"/>
                <w:b/>
                <w:kern w:val="0"/>
                <w:sz w:val="20"/>
                <w:szCs w:val="20"/>
                <w:lang w:bidi="zh-CN"/>
              </w:rPr>
            </w:pPr>
            <w:r>
              <w:rPr>
                <w:rFonts w:hint="eastAsia" w:ascii="宋体" w:hAnsi="宋体" w:eastAsia="宋体"/>
                <w:b/>
                <w:kern w:val="0"/>
                <w:sz w:val="20"/>
                <w:szCs w:val="20"/>
                <w:lang w:bidi="zh-CN"/>
              </w:rPr>
              <w:t>序号</w:t>
            </w:r>
          </w:p>
        </w:tc>
        <w:tc>
          <w:tcPr>
            <w:tcW w:w="1070" w:type="pct"/>
            <w:vAlign w:val="center"/>
          </w:tcPr>
          <w:p>
            <w:pPr>
              <w:adjustRightInd w:val="0"/>
              <w:snapToGrid w:val="0"/>
              <w:jc w:val="center"/>
              <w:rPr>
                <w:rFonts w:ascii="宋体" w:hAnsi="宋体" w:eastAsia="宋体"/>
                <w:b/>
                <w:kern w:val="0"/>
                <w:sz w:val="20"/>
                <w:szCs w:val="20"/>
                <w:lang w:bidi="zh-CN"/>
              </w:rPr>
            </w:pPr>
            <w:r>
              <w:rPr>
                <w:rFonts w:hint="eastAsia" w:ascii="宋体" w:hAnsi="宋体" w:eastAsia="宋体"/>
                <w:b/>
                <w:kern w:val="0"/>
                <w:sz w:val="20"/>
                <w:szCs w:val="20"/>
                <w:lang w:bidi="zh-CN"/>
              </w:rPr>
              <w:t>子项名称</w:t>
            </w:r>
          </w:p>
        </w:tc>
        <w:tc>
          <w:tcPr>
            <w:tcW w:w="3335" w:type="pct"/>
            <w:vAlign w:val="center"/>
          </w:tcPr>
          <w:p>
            <w:pPr>
              <w:adjustRightInd w:val="0"/>
              <w:snapToGrid w:val="0"/>
              <w:jc w:val="center"/>
              <w:rPr>
                <w:rFonts w:ascii="宋体" w:hAnsi="宋体" w:eastAsia="宋体"/>
                <w:b/>
                <w:kern w:val="0"/>
                <w:sz w:val="20"/>
                <w:szCs w:val="20"/>
                <w:lang w:bidi="zh-CN"/>
              </w:rPr>
            </w:pPr>
            <w:r>
              <w:rPr>
                <w:rFonts w:hint="eastAsia" w:ascii="宋体" w:hAnsi="宋体" w:eastAsia="宋体"/>
                <w:b/>
                <w:kern w:val="0"/>
                <w:sz w:val="20"/>
                <w:szCs w:val="20"/>
                <w:lang w:bidi="zh-CN"/>
              </w:rPr>
              <w:t>子项具体计划内容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jc w:val="center"/>
        </w:trPr>
        <w:tc>
          <w:tcPr>
            <w:tcW w:w="595"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1</w:t>
            </w:r>
          </w:p>
        </w:tc>
        <w:tc>
          <w:tcPr>
            <w:tcW w:w="1070"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财务会计业务规范提升服务</w:t>
            </w:r>
          </w:p>
        </w:tc>
        <w:tc>
          <w:tcPr>
            <w:tcW w:w="3335" w:type="pct"/>
            <w:vAlign w:val="center"/>
          </w:tcPr>
          <w:p>
            <w:pPr>
              <w:adjustRightInd w:val="0"/>
              <w:snapToGrid w:val="0"/>
              <w:rPr>
                <w:rFonts w:ascii="宋体" w:hAnsi="宋体" w:eastAsia="宋体"/>
                <w:kern w:val="0"/>
                <w:sz w:val="20"/>
                <w:szCs w:val="20"/>
                <w:lang w:bidi="zh-CN"/>
              </w:rPr>
            </w:pPr>
            <w:r>
              <w:rPr>
                <w:rFonts w:hint="eastAsia" w:ascii="宋体" w:hAnsi="宋体" w:eastAsia="宋体"/>
                <w:kern w:val="0"/>
                <w:sz w:val="20"/>
                <w:szCs w:val="20"/>
                <w:lang w:bidi="zh-CN"/>
              </w:rPr>
              <w:t>计划从财务会计核算业务、资产管理、预决算专项、档案、政府采购与其他工作规范提升等</w:t>
            </w:r>
            <w:r>
              <w:rPr>
                <w:rFonts w:ascii="宋体" w:hAnsi="宋体" w:eastAsia="宋体"/>
                <w:kern w:val="0"/>
                <w:sz w:val="20"/>
                <w:szCs w:val="20"/>
                <w:lang w:bidi="zh-CN"/>
              </w:rPr>
              <w:t>5方面开展相应工作</w:t>
            </w:r>
            <w:r>
              <w:rPr>
                <w:rFonts w:hint="eastAsia" w:ascii="宋体" w:hAnsi="宋体" w:eastAsia="宋体"/>
                <w:kern w:val="0"/>
                <w:sz w:val="20"/>
                <w:szCs w:val="20"/>
                <w:lang w:bidi="zh-CN"/>
              </w:rPr>
              <w:t>，2023年度全年为市政务服务局本级及网厅中心提供服务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595"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2</w:t>
            </w:r>
          </w:p>
        </w:tc>
        <w:tc>
          <w:tcPr>
            <w:tcW w:w="1070"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内部审计服务</w:t>
            </w:r>
          </w:p>
        </w:tc>
        <w:tc>
          <w:tcPr>
            <w:tcW w:w="3335" w:type="pct"/>
            <w:vAlign w:val="center"/>
          </w:tcPr>
          <w:p>
            <w:pPr>
              <w:adjustRightInd w:val="0"/>
              <w:snapToGrid w:val="0"/>
              <w:rPr>
                <w:rFonts w:ascii="宋体" w:hAnsi="宋体" w:eastAsia="宋体"/>
                <w:kern w:val="0"/>
                <w:sz w:val="20"/>
                <w:szCs w:val="20"/>
                <w:lang w:bidi="zh-CN"/>
              </w:rPr>
            </w:pPr>
            <w:r>
              <w:rPr>
                <w:rFonts w:hint="eastAsia" w:ascii="宋体" w:hAnsi="宋体" w:eastAsia="宋体"/>
                <w:kern w:val="0"/>
                <w:sz w:val="20"/>
                <w:szCs w:val="20"/>
                <w:lang w:bidi="zh-CN"/>
              </w:rPr>
              <w:t>计划对</w:t>
            </w:r>
            <w:r>
              <w:rPr>
                <w:rFonts w:ascii="宋体" w:hAnsi="宋体" w:eastAsia="宋体"/>
                <w:kern w:val="0"/>
                <w:sz w:val="20"/>
                <w:szCs w:val="20"/>
                <w:lang w:bidi="zh-CN"/>
              </w:rPr>
              <w:t>2022年度北京市政务服务管理局本级及2家所属单位进行财务收支审计，并在2023年度合同签订后完成资料清单制定及审计通知下达等任务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595"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3</w:t>
            </w:r>
          </w:p>
        </w:tc>
        <w:tc>
          <w:tcPr>
            <w:tcW w:w="1070"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内部控制管理服务</w:t>
            </w:r>
          </w:p>
        </w:tc>
        <w:tc>
          <w:tcPr>
            <w:tcW w:w="3335" w:type="pct"/>
            <w:vAlign w:val="center"/>
          </w:tcPr>
          <w:p>
            <w:pPr>
              <w:adjustRightInd w:val="0"/>
              <w:snapToGrid w:val="0"/>
              <w:rPr>
                <w:rFonts w:ascii="宋体" w:hAnsi="宋体" w:eastAsia="宋体"/>
                <w:kern w:val="0"/>
                <w:sz w:val="20"/>
                <w:szCs w:val="20"/>
                <w:lang w:bidi="zh-CN"/>
              </w:rPr>
            </w:pPr>
            <w:r>
              <w:rPr>
                <w:rFonts w:hint="eastAsia" w:ascii="宋体" w:hAnsi="宋体" w:eastAsia="宋体"/>
                <w:kern w:val="0"/>
                <w:sz w:val="20"/>
                <w:szCs w:val="20"/>
                <w:lang w:bidi="zh-CN"/>
              </w:rPr>
              <w:t>计划完成市政务服务局本级、网厅中心2022年度内部控制报告复核、风险评估与自我评价，并针对2023年度内控制度体系建设进行辅导培训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595"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4</w:t>
            </w:r>
          </w:p>
        </w:tc>
        <w:tc>
          <w:tcPr>
            <w:tcW w:w="1070"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预算评审</w:t>
            </w:r>
          </w:p>
        </w:tc>
        <w:tc>
          <w:tcPr>
            <w:tcW w:w="3335" w:type="pct"/>
            <w:vAlign w:val="center"/>
          </w:tcPr>
          <w:p>
            <w:pPr>
              <w:adjustRightInd w:val="0"/>
              <w:snapToGrid w:val="0"/>
              <w:rPr>
                <w:rFonts w:ascii="宋体" w:hAnsi="宋体" w:eastAsia="宋体"/>
                <w:kern w:val="0"/>
                <w:sz w:val="20"/>
                <w:szCs w:val="20"/>
                <w:lang w:bidi="zh-CN"/>
              </w:rPr>
            </w:pPr>
            <w:r>
              <w:rPr>
                <w:rFonts w:hint="eastAsia" w:ascii="宋体" w:hAnsi="宋体" w:eastAsia="宋体"/>
                <w:kern w:val="0"/>
                <w:sz w:val="20"/>
                <w:szCs w:val="20"/>
                <w:lang w:bidi="zh-CN"/>
              </w:rPr>
              <w:t>根据财政的要求，完成市政务服务管理局本级及网厅中心2022年追加及2023年度预算项目的评审工作的资金支付。并于2023年度合同签订后着手2023年度追加及下年预算项目的评审工作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595"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5</w:t>
            </w:r>
          </w:p>
        </w:tc>
        <w:tc>
          <w:tcPr>
            <w:tcW w:w="1070"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预算绩效管理</w:t>
            </w:r>
          </w:p>
        </w:tc>
        <w:tc>
          <w:tcPr>
            <w:tcW w:w="3335" w:type="pct"/>
            <w:vAlign w:val="center"/>
          </w:tcPr>
          <w:p>
            <w:pPr>
              <w:adjustRightInd w:val="0"/>
              <w:snapToGrid w:val="0"/>
              <w:rPr>
                <w:rFonts w:ascii="宋体" w:hAnsi="宋体" w:eastAsia="宋体"/>
                <w:kern w:val="0"/>
                <w:sz w:val="20"/>
                <w:szCs w:val="20"/>
                <w:lang w:bidi="zh-CN"/>
              </w:rPr>
            </w:pPr>
            <w:r>
              <w:rPr>
                <w:rFonts w:hint="eastAsia" w:ascii="宋体" w:hAnsi="宋体" w:eastAsia="宋体"/>
                <w:kern w:val="0"/>
                <w:sz w:val="20"/>
                <w:szCs w:val="20"/>
                <w:lang w:bidi="zh-CN"/>
              </w:rPr>
              <w:t>计划完成</w:t>
            </w:r>
            <w:r>
              <w:rPr>
                <w:rFonts w:ascii="宋体" w:hAnsi="宋体" w:eastAsia="宋体"/>
                <w:kern w:val="0"/>
                <w:sz w:val="20"/>
                <w:szCs w:val="20"/>
                <w:lang w:bidi="zh-CN"/>
              </w:rPr>
              <w:t>2023年度预算项目绩效目标辅导及规范性审核、2022年度部门绩效评价及自评项目复核、2022年度追加及2023年度申报项目事前绩效评估工作、2023年度预算项目半年绩效监控、2023年度政务服务信息系统运维服务项目成本绩效分析、分行业分领域指标体系构建及动态维护等6项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95"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6</w:t>
            </w:r>
          </w:p>
        </w:tc>
        <w:tc>
          <w:tcPr>
            <w:tcW w:w="1070" w:type="pct"/>
            <w:vAlign w:val="center"/>
          </w:tcPr>
          <w:p>
            <w:pPr>
              <w:adjustRightInd w:val="0"/>
              <w:snapToGrid w:val="0"/>
              <w:jc w:val="center"/>
              <w:rPr>
                <w:rFonts w:ascii="宋体" w:hAnsi="宋体" w:eastAsia="宋体"/>
                <w:kern w:val="0"/>
                <w:sz w:val="20"/>
                <w:szCs w:val="20"/>
                <w:lang w:bidi="zh-CN"/>
              </w:rPr>
            </w:pPr>
            <w:r>
              <w:rPr>
                <w:rFonts w:hint="eastAsia" w:ascii="宋体" w:hAnsi="宋体" w:eastAsia="宋体"/>
                <w:kern w:val="0"/>
                <w:sz w:val="20"/>
                <w:szCs w:val="20"/>
                <w:lang w:bidi="zh-CN"/>
              </w:rPr>
              <w:t>财务软件信息管理系统运维服务</w:t>
            </w:r>
          </w:p>
        </w:tc>
        <w:tc>
          <w:tcPr>
            <w:tcW w:w="3335" w:type="pct"/>
            <w:vAlign w:val="center"/>
          </w:tcPr>
          <w:p>
            <w:pPr>
              <w:adjustRightInd w:val="0"/>
              <w:snapToGrid w:val="0"/>
              <w:rPr>
                <w:rFonts w:ascii="宋体" w:hAnsi="宋体" w:eastAsia="宋体"/>
                <w:kern w:val="0"/>
                <w:sz w:val="20"/>
                <w:szCs w:val="20"/>
                <w:lang w:bidi="zh-CN"/>
              </w:rPr>
            </w:pPr>
            <w:r>
              <w:rPr>
                <w:rFonts w:hint="eastAsia" w:ascii="宋体" w:hAnsi="宋体" w:eastAsia="宋体"/>
                <w:kern w:val="0"/>
                <w:sz w:val="20"/>
                <w:szCs w:val="20"/>
                <w:lang w:bidi="zh-CN"/>
              </w:rPr>
              <w:t>2023年全年范围内保障用友软件的正常使用，保障财务基础数据管理、账务管理、电子报表、出纳、决算等工作的正常开展</w:t>
            </w:r>
          </w:p>
        </w:tc>
      </w:tr>
    </w:tbl>
    <w:p>
      <w:pPr>
        <w:pStyle w:val="31"/>
        <w:spacing w:line="560" w:lineRule="exact"/>
        <w:ind w:firstLine="424"/>
        <w:rPr>
          <w:sz w:val="20"/>
          <w:lang w:bidi="zh-CN"/>
        </w:rPr>
      </w:pPr>
    </w:p>
    <w:p>
      <w:pPr>
        <w:adjustRightInd w:val="0"/>
        <w:snapToGrid w:val="0"/>
        <w:spacing w:line="560" w:lineRule="exact"/>
        <w:ind w:firstLine="640" w:firstLineChars="200"/>
        <w:outlineLvl w:val="2"/>
        <w:rPr>
          <w:rFonts w:ascii="仿宋_GB2312" w:eastAsia="仿宋_GB2312"/>
          <w:sz w:val="32"/>
          <w:szCs w:val="32"/>
        </w:rPr>
      </w:pPr>
      <w:r>
        <w:rPr>
          <w:rFonts w:ascii="仿宋_GB2312" w:hAnsi="Times New Roman" w:eastAsia="仿宋_GB2312"/>
          <w:kern w:val="0"/>
          <w:sz w:val="32"/>
          <w:szCs w:val="32"/>
          <w:lang w:bidi="zh-CN"/>
        </w:rPr>
        <w:t>3.</w:t>
      </w:r>
      <w:r>
        <w:rPr>
          <w:rFonts w:hint="eastAsia" w:ascii="仿宋_GB2312" w:hAnsi="Times New Roman" w:eastAsia="仿宋_GB2312"/>
          <w:kern w:val="0"/>
          <w:sz w:val="32"/>
          <w:szCs w:val="32"/>
          <w:lang w:bidi="zh-CN"/>
        </w:rPr>
        <w:t>资金投入和使用情况</w:t>
      </w:r>
    </w:p>
    <w:p>
      <w:pPr>
        <w:adjustRightInd w:val="0"/>
        <w:snapToGrid w:val="0"/>
        <w:spacing w:line="560" w:lineRule="exact"/>
        <w:ind w:firstLine="640" w:firstLineChars="200"/>
        <w:rPr>
          <w:rFonts w:ascii="仿宋_GB2312" w:hAnsi="仿宋_GB2312" w:eastAsia="仿宋_GB2312"/>
          <w:kern w:val="0"/>
          <w:sz w:val="32"/>
          <w:szCs w:val="32"/>
          <w:lang w:bidi="zh-CN"/>
        </w:rPr>
      </w:pPr>
      <w:bookmarkStart w:id="5" w:name="_Hlk129870139"/>
      <w:r>
        <w:rPr>
          <w:rFonts w:hint="eastAsia" w:ascii="仿宋_GB2312" w:hAnsi="Times New Roman" w:eastAsia="仿宋_GB2312"/>
          <w:kern w:val="0"/>
          <w:sz w:val="32"/>
          <w:szCs w:val="32"/>
          <w:lang w:bidi="zh-CN"/>
        </w:rPr>
        <w:t>该项目为延续性项目，2023</w:t>
      </w:r>
      <w:r>
        <w:rPr>
          <w:rFonts w:hint="eastAsia" w:ascii="仿宋_GB2312" w:hAnsi="仿宋_GB2312" w:eastAsia="仿宋_GB2312"/>
          <w:kern w:val="0"/>
          <w:sz w:val="32"/>
          <w:szCs w:val="32"/>
          <w:lang w:bidi="zh-CN"/>
        </w:rPr>
        <w:t>年度该项目年初预算批复总额为</w:t>
      </w:r>
      <w:r>
        <w:rPr>
          <w:rFonts w:hint="eastAsia" w:ascii="仿宋_GB2312" w:hAnsi="Times New Roman" w:eastAsia="仿宋_GB2312"/>
          <w:kern w:val="0"/>
          <w:sz w:val="32"/>
          <w:szCs w:val="32"/>
          <w:lang w:bidi="zh-CN"/>
        </w:rPr>
        <w:t>224.70</w:t>
      </w:r>
      <w:r>
        <w:rPr>
          <w:rFonts w:hint="eastAsia" w:ascii="仿宋_GB2312" w:hAnsi="仿宋_GB2312" w:eastAsia="仿宋_GB2312"/>
          <w:kern w:val="0"/>
          <w:sz w:val="32"/>
          <w:szCs w:val="32"/>
          <w:lang w:bidi="zh-CN"/>
        </w:rPr>
        <w:t>万元，均为当年财政拨款，年中无预算调整。该项目预算构成分为“上年合同尾款+本年合同首款支付”“上年合同款后支付”“当年合同款当年支付”等3种模式。整体上，2023年度预算包括2022年合同款或合同尾款资金154.735万元、包括2023年合同款或合同首款资金69.965万元（为该项目2023年度预算评审审定金额246.90万元的28.34%）。截至2023年12月底，项目实际支出224.70万元，预算执行率100%。2023年度项目预算及执行情况见表2。</w:t>
      </w:r>
    </w:p>
    <w:p>
      <w:pPr>
        <w:adjustRightInd w:val="0"/>
        <w:snapToGrid w:val="0"/>
        <w:spacing w:line="560" w:lineRule="exact"/>
        <w:ind w:firstLine="640" w:firstLineChars="200"/>
        <w:rPr>
          <w:rFonts w:ascii="仿宋_GB2312" w:hAnsi="仿宋_GB2312" w:eastAsia="仿宋_GB2312"/>
          <w:kern w:val="0"/>
          <w:sz w:val="32"/>
          <w:szCs w:val="32"/>
          <w:lang w:bidi="zh-CN"/>
        </w:rPr>
      </w:pPr>
    </w:p>
    <w:p>
      <w:pPr>
        <w:adjustRightInd w:val="0"/>
        <w:snapToGrid w:val="0"/>
        <w:spacing w:line="560" w:lineRule="exact"/>
        <w:ind w:firstLine="640" w:firstLineChars="200"/>
        <w:rPr>
          <w:rFonts w:ascii="仿宋_GB2312" w:hAnsi="仿宋_GB2312" w:eastAsia="仿宋_GB2312"/>
          <w:kern w:val="0"/>
          <w:sz w:val="32"/>
          <w:szCs w:val="32"/>
          <w:lang w:bidi="zh-CN"/>
        </w:rPr>
      </w:pPr>
    </w:p>
    <w:p>
      <w:pPr>
        <w:adjustRightInd w:val="0"/>
        <w:snapToGrid w:val="0"/>
        <w:spacing w:line="560" w:lineRule="exact"/>
        <w:ind w:firstLine="640" w:firstLineChars="200"/>
        <w:rPr>
          <w:rFonts w:hint="eastAsia" w:ascii="仿宋_GB2312" w:hAnsi="仿宋_GB2312" w:eastAsia="仿宋_GB2312"/>
          <w:kern w:val="0"/>
          <w:sz w:val="32"/>
          <w:szCs w:val="32"/>
          <w:lang w:bidi="zh-CN"/>
        </w:rPr>
        <w:sectPr>
          <w:footnotePr>
            <w:numFmt w:val="decimalEnclosedCircleChinese"/>
          </w:footnotePr>
          <w:pgSz w:w="11906" w:h="16838"/>
          <w:pgMar w:top="1440" w:right="1800" w:bottom="1440" w:left="1800" w:header="851" w:footer="992" w:gutter="0"/>
          <w:pgNumType w:start="1"/>
          <w:cols w:space="425" w:num="1"/>
          <w:docGrid w:type="lines" w:linePitch="312" w:charSpace="0"/>
        </w:sectPr>
      </w:pPr>
    </w:p>
    <w:p>
      <w:pPr>
        <w:adjustRightInd w:val="0"/>
        <w:snapToGrid w:val="0"/>
        <w:spacing w:line="560" w:lineRule="exact"/>
        <w:ind w:firstLine="560" w:firstLineChars="200"/>
        <w:jc w:val="center"/>
        <w:rPr>
          <w:rFonts w:ascii="黑体" w:hAnsi="黑体" w:eastAsia="黑体"/>
          <w:kern w:val="0"/>
          <w:sz w:val="28"/>
          <w:szCs w:val="28"/>
          <w:lang w:bidi="zh-CN"/>
        </w:rPr>
      </w:pPr>
      <w:r>
        <w:rPr>
          <w:rFonts w:hint="eastAsia" w:ascii="黑体" w:hAnsi="黑体" w:eastAsia="黑体"/>
          <w:kern w:val="0"/>
          <w:sz w:val="28"/>
          <w:szCs w:val="28"/>
          <w:lang w:bidi="zh-CN"/>
        </w:rPr>
        <w:t>表2：项目预算及执行情况表</w:t>
      </w:r>
    </w:p>
    <w:p>
      <w:pPr>
        <w:adjustRightInd w:val="0"/>
        <w:snapToGrid w:val="0"/>
        <w:spacing w:line="360" w:lineRule="auto"/>
        <w:ind w:firstLine="560" w:firstLineChars="200"/>
        <w:jc w:val="center"/>
        <w:rPr>
          <w:rFonts w:ascii="宋体" w:hAnsi="宋体" w:eastAsia="宋体"/>
          <w:kern w:val="0"/>
          <w:sz w:val="20"/>
          <w:szCs w:val="20"/>
          <w:lang w:bidi="zh-CN"/>
        </w:rPr>
      </w:pPr>
      <w:r>
        <w:rPr>
          <w:rFonts w:hint="eastAsia" w:ascii="黑体" w:hAnsi="黑体" w:eastAsia="黑体"/>
          <w:kern w:val="0"/>
          <w:sz w:val="28"/>
          <w:szCs w:val="28"/>
          <w:lang w:bidi="zh-CN"/>
        </w:rPr>
        <w:t xml:space="preserve"> </w:t>
      </w:r>
      <w:r>
        <w:rPr>
          <w:rFonts w:ascii="黑体" w:hAnsi="黑体" w:eastAsia="黑体"/>
          <w:kern w:val="0"/>
          <w:sz w:val="28"/>
          <w:szCs w:val="28"/>
          <w:lang w:bidi="zh-CN"/>
        </w:rPr>
        <w:t xml:space="preserve">                                           </w:t>
      </w:r>
      <w:r>
        <w:rPr>
          <w:rFonts w:hint="eastAsia" w:ascii="宋体" w:hAnsi="宋体" w:eastAsia="宋体"/>
          <w:kern w:val="0"/>
          <w:sz w:val="20"/>
          <w:szCs w:val="20"/>
          <w:lang w:bidi="zh-CN"/>
        </w:rPr>
        <w:t>金额单位：万元</w:t>
      </w:r>
    </w:p>
    <w:tbl>
      <w:tblPr>
        <w:tblStyle w:val="12"/>
        <w:tblW w:w="5984" w:type="pct"/>
        <w:jc w:val="center"/>
        <w:tblLayout w:type="autofit"/>
        <w:tblCellMar>
          <w:top w:w="0" w:type="dxa"/>
          <w:left w:w="108" w:type="dxa"/>
          <w:bottom w:w="0" w:type="dxa"/>
          <w:right w:w="108" w:type="dxa"/>
        </w:tblCellMar>
      </w:tblPr>
      <w:tblGrid>
        <w:gridCol w:w="718"/>
        <w:gridCol w:w="1373"/>
        <w:gridCol w:w="1678"/>
        <w:gridCol w:w="870"/>
        <w:gridCol w:w="1015"/>
        <w:gridCol w:w="870"/>
        <w:gridCol w:w="870"/>
        <w:gridCol w:w="922"/>
        <w:gridCol w:w="874"/>
        <w:gridCol w:w="1009"/>
      </w:tblGrid>
      <w:tr>
        <w:tblPrEx>
          <w:tblCellMar>
            <w:top w:w="0" w:type="dxa"/>
            <w:left w:w="108" w:type="dxa"/>
            <w:bottom w:w="0" w:type="dxa"/>
            <w:right w:w="108" w:type="dxa"/>
          </w:tblCellMar>
        </w:tblPrEx>
        <w:trPr>
          <w:trHeight w:val="600" w:hRule="atLeast"/>
          <w:jc w:val="center"/>
        </w:trPr>
        <w:tc>
          <w:tcPr>
            <w:tcW w:w="3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序号</w:t>
            </w:r>
          </w:p>
        </w:tc>
        <w:tc>
          <w:tcPr>
            <w:tcW w:w="67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子项名称</w:t>
            </w:r>
          </w:p>
        </w:tc>
        <w:tc>
          <w:tcPr>
            <w:tcW w:w="82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资金构成性质及支付对象</w:t>
            </w:r>
          </w:p>
        </w:tc>
        <w:tc>
          <w:tcPr>
            <w:tcW w:w="1358"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预算构成（万元）</w:t>
            </w:r>
          </w:p>
        </w:tc>
        <w:tc>
          <w:tcPr>
            <w:tcW w:w="1289"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实际执行金额（万元）</w:t>
            </w:r>
          </w:p>
        </w:tc>
        <w:tc>
          <w:tcPr>
            <w:tcW w:w="49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2"/>
              </w:rPr>
            </w:pPr>
            <w:r>
              <w:rPr>
                <w:rFonts w:hint="eastAsia" w:ascii="宋体" w:hAnsi="宋体" w:eastAsia="宋体" w:cs="宋体"/>
                <w:b/>
                <w:bCs/>
                <w:color w:val="000000"/>
                <w:kern w:val="0"/>
                <w:sz w:val="22"/>
              </w:rPr>
              <w:t>预算执行率（%）</w:t>
            </w:r>
          </w:p>
        </w:tc>
      </w:tr>
      <w:tr>
        <w:tblPrEx>
          <w:tblCellMar>
            <w:top w:w="0" w:type="dxa"/>
            <w:left w:w="108" w:type="dxa"/>
            <w:bottom w:w="0" w:type="dxa"/>
            <w:right w:w="108" w:type="dxa"/>
          </w:tblCellMar>
        </w:tblPrEx>
        <w:trPr>
          <w:trHeight w:val="510" w:hRule="atLeast"/>
          <w:jc w:val="center"/>
        </w:trPr>
        <w:tc>
          <w:tcPr>
            <w:tcW w:w="355"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0"/>
                <w:szCs w:val="20"/>
              </w:rPr>
            </w:pPr>
          </w:p>
        </w:tc>
        <w:tc>
          <w:tcPr>
            <w:tcW w:w="676"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0"/>
                <w:szCs w:val="20"/>
              </w:rPr>
            </w:pPr>
          </w:p>
        </w:tc>
        <w:tc>
          <w:tcPr>
            <w:tcW w:w="825"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0"/>
                <w:szCs w:val="20"/>
              </w:rPr>
            </w:pP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小计</w:t>
            </w:r>
          </w:p>
        </w:tc>
        <w:tc>
          <w:tcPr>
            <w:tcW w:w="50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2022年度合同尾款</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2023年度合同首款</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小计</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2022年度合同尾款</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2023年度合同首款</w:t>
            </w:r>
          </w:p>
        </w:tc>
        <w:tc>
          <w:tcPr>
            <w:tcW w:w="497"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2"/>
              </w:rPr>
            </w:pPr>
          </w:p>
        </w:tc>
      </w:tr>
      <w:tr>
        <w:tblPrEx>
          <w:tblCellMar>
            <w:top w:w="0" w:type="dxa"/>
            <w:left w:w="108" w:type="dxa"/>
            <w:bottom w:w="0" w:type="dxa"/>
            <w:right w:w="108" w:type="dxa"/>
          </w:tblCellMar>
        </w:tblPrEx>
        <w:trPr>
          <w:trHeight w:val="413" w:hRule="atLeast"/>
          <w:jc w:val="center"/>
        </w:trPr>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w:t>
            </w:r>
          </w:p>
        </w:tc>
        <w:tc>
          <w:tcPr>
            <w:tcW w:w="676"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合计</w:t>
            </w:r>
          </w:p>
        </w:tc>
        <w:tc>
          <w:tcPr>
            <w:tcW w:w="82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 xml:space="preserve">224.70 </w:t>
            </w:r>
          </w:p>
        </w:tc>
        <w:tc>
          <w:tcPr>
            <w:tcW w:w="50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 xml:space="preserve">154.735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 xml:space="preserve">69.965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 xml:space="preserve">224.70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 xml:space="preserve">143.235 </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0"/>
                <w:szCs w:val="20"/>
              </w:rPr>
            </w:pPr>
            <w:r>
              <w:rPr>
                <w:rFonts w:hint="eastAsia" w:ascii="宋体" w:hAnsi="宋体" w:eastAsia="宋体" w:cs="宋体"/>
                <w:b/>
                <w:bCs/>
                <w:color w:val="000000"/>
                <w:kern w:val="0"/>
                <w:sz w:val="20"/>
                <w:szCs w:val="20"/>
              </w:rPr>
              <w:t xml:space="preserve">81.465 </w:t>
            </w:r>
          </w:p>
        </w:tc>
        <w:tc>
          <w:tcPr>
            <w:tcW w:w="4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b/>
                <w:bCs/>
                <w:color w:val="000000"/>
                <w:kern w:val="0"/>
                <w:sz w:val="22"/>
              </w:rPr>
            </w:pPr>
            <w:r>
              <w:rPr>
                <w:rFonts w:hint="eastAsia" w:ascii="宋体" w:hAnsi="宋体" w:eastAsia="宋体" w:cs="宋体"/>
                <w:b/>
                <w:bCs/>
                <w:color w:val="000000"/>
                <w:kern w:val="0"/>
                <w:sz w:val="22"/>
              </w:rPr>
              <w:t>100.00%</w:t>
            </w:r>
          </w:p>
        </w:tc>
      </w:tr>
      <w:tr>
        <w:tblPrEx>
          <w:tblCellMar>
            <w:top w:w="0" w:type="dxa"/>
            <w:left w:w="108" w:type="dxa"/>
            <w:bottom w:w="0" w:type="dxa"/>
            <w:right w:w="108" w:type="dxa"/>
          </w:tblCellMar>
        </w:tblPrEx>
        <w:trPr>
          <w:trHeight w:val="765" w:hRule="atLeast"/>
          <w:jc w:val="center"/>
        </w:trPr>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676"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财务会计业务规范提升服务</w:t>
            </w:r>
          </w:p>
        </w:tc>
        <w:tc>
          <w:tcPr>
            <w:tcW w:w="82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上年合同尾款+本年合同首款</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85.385 </w:t>
            </w:r>
          </w:p>
        </w:tc>
        <w:tc>
          <w:tcPr>
            <w:tcW w:w="50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60.925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24.46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88.99 </w:t>
            </w:r>
          </w:p>
        </w:tc>
        <w:tc>
          <w:tcPr>
            <w:tcW w:w="4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60.925</w:t>
            </w:r>
          </w:p>
        </w:tc>
        <w:tc>
          <w:tcPr>
            <w:tcW w:w="4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28.065</w:t>
            </w:r>
          </w:p>
        </w:tc>
        <w:tc>
          <w:tcPr>
            <w:tcW w:w="4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104.22%</w:t>
            </w:r>
          </w:p>
        </w:tc>
      </w:tr>
      <w:tr>
        <w:tblPrEx>
          <w:tblCellMar>
            <w:top w:w="0" w:type="dxa"/>
            <w:left w:w="108" w:type="dxa"/>
            <w:bottom w:w="0" w:type="dxa"/>
            <w:right w:w="108" w:type="dxa"/>
          </w:tblCellMar>
        </w:tblPrEx>
        <w:trPr>
          <w:trHeight w:val="765" w:hRule="atLeast"/>
          <w:jc w:val="center"/>
        </w:trPr>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676"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内部审计服务</w:t>
            </w:r>
          </w:p>
        </w:tc>
        <w:tc>
          <w:tcPr>
            <w:tcW w:w="82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上年合同尾款+本年合同首款</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20.84 </w:t>
            </w:r>
          </w:p>
        </w:tc>
        <w:tc>
          <w:tcPr>
            <w:tcW w:w="50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14.56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6.28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24.56 </w:t>
            </w:r>
          </w:p>
        </w:tc>
        <w:tc>
          <w:tcPr>
            <w:tcW w:w="4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14.56 </w:t>
            </w:r>
          </w:p>
        </w:tc>
        <w:tc>
          <w:tcPr>
            <w:tcW w:w="4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10.00 </w:t>
            </w:r>
          </w:p>
        </w:tc>
        <w:tc>
          <w:tcPr>
            <w:tcW w:w="4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117.85%</w:t>
            </w:r>
          </w:p>
        </w:tc>
      </w:tr>
      <w:tr>
        <w:tblPrEx>
          <w:tblCellMar>
            <w:top w:w="0" w:type="dxa"/>
            <w:left w:w="108" w:type="dxa"/>
            <w:bottom w:w="0" w:type="dxa"/>
            <w:right w:w="108" w:type="dxa"/>
          </w:tblCellMar>
        </w:tblPrEx>
        <w:trPr>
          <w:trHeight w:val="736" w:hRule="atLeast"/>
          <w:jc w:val="center"/>
        </w:trPr>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w:t>
            </w:r>
          </w:p>
        </w:tc>
        <w:tc>
          <w:tcPr>
            <w:tcW w:w="676"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内部控制管理服务</w:t>
            </w:r>
          </w:p>
        </w:tc>
        <w:tc>
          <w:tcPr>
            <w:tcW w:w="82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当年合同全款</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20.00 </w:t>
            </w:r>
          </w:p>
        </w:tc>
        <w:tc>
          <w:tcPr>
            <w:tcW w:w="50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20.00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19.00 </w:t>
            </w:r>
          </w:p>
        </w:tc>
        <w:tc>
          <w:tcPr>
            <w:tcW w:w="4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w:t>
            </w:r>
          </w:p>
        </w:tc>
        <w:tc>
          <w:tcPr>
            <w:tcW w:w="4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19.00 </w:t>
            </w:r>
          </w:p>
        </w:tc>
        <w:tc>
          <w:tcPr>
            <w:tcW w:w="4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95.00%</w:t>
            </w:r>
          </w:p>
        </w:tc>
      </w:tr>
      <w:tr>
        <w:tblPrEx>
          <w:tblCellMar>
            <w:top w:w="0" w:type="dxa"/>
            <w:left w:w="108" w:type="dxa"/>
            <w:bottom w:w="0" w:type="dxa"/>
            <w:right w:w="108" w:type="dxa"/>
          </w:tblCellMar>
        </w:tblPrEx>
        <w:trPr>
          <w:trHeight w:val="795" w:hRule="atLeast"/>
          <w:jc w:val="center"/>
        </w:trPr>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4</w:t>
            </w:r>
          </w:p>
        </w:tc>
        <w:tc>
          <w:tcPr>
            <w:tcW w:w="676"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预算评审</w:t>
            </w:r>
          </w:p>
        </w:tc>
        <w:tc>
          <w:tcPr>
            <w:tcW w:w="82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上年合同全款（据实结算）</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35.00 </w:t>
            </w:r>
          </w:p>
        </w:tc>
        <w:tc>
          <w:tcPr>
            <w:tcW w:w="50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35.00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23.50 </w:t>
            </w:r>
          </w:p>
        </w:tc>
        <w:tc>
          <w:tcPr>
            <w:tcW w:w="4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23.50 </w:t>
            </w:r>
          </w:p>
        </w:tc>
        <w:tc>
          <w:tcPr>
            <w:tcW w:w="4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w:t>
            </w:r>
          </w:p>
        </w:tc>
        <w:tc>
          <w:tcPr>
            <w:tcW w:w="4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67.14%</w:t>
            </w:r>
          </w:p>
        </w:tc>
      </w:tr>
      <w:tr>
        <w:tblPrEx>
          <w:tblCellMar>
            <w:top w:w="0" w:type="dxa"/>
            <w:left w:w="108" w:type="dxa"/>
            <w:bottom w:w="0" w:type="dxa"/>
            <w:right w:w="108" w:type="dxa"/>
          </w:tblCellMar>
        </w:tblPrEx>
        <w:trPr>
          <w:trHeight w:val="765" w:hRule="atLeast"/>
          <w:jc w:val="center"/>
        </w:trPr>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5</w:t>
            </w:r>
          </w:p>
        </w:tc>
        <w:tc>
          <w:tcPr>
            <w:tcW w:w="676"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预算绩效管理</w:t>
            </w:r>
          </w:p>
        </w:tc>
        <w:tc>
          <w:tcPr>
            <w:tcW w:w="82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上年合同尾款+本年合同首款</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54.575 </w:t>
            </w:r>
          </w:p>
        </w:tc>
        <w:tc>
          <w:tcPr>
            <w:tcW w:w="50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39.80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14.775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59.80 </w:t>
            </w:r>
          </w:p>
        </w:tc>
        <w:tc>
          <w:tcPr>
            <w:tcW w:w="4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39.80 </w:t>
            </w:r>
          </w:p>
        </w:tc>
        <w:tc>
          <w:tcPr>
            <w:tcW w:w="4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20.00 </w:t>
            </w:r>
          </w:p>
        </w:tc>
        <w:tc>
          <w:tcPr>
            <w:tcW w:w="4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109.57%</w:t>
            </w:r>
          </w:p>
        </w:tc>
      </w:tr>
      <w:tr>
        <w:tblPrEx>
          <w:tblCellMar>
            <w:top w:w="0" w:type="dxa"/>
            <w:left w:w="108" w:type="dxa"/>
            <w:bottom w:w="0" w:type="dxa"/>
            <w:right w:w="108" w:type="dxa"/>
          </w:tblCellMar>
        </w:tblPrEx>
        <w:trPr>
          <w:trHeight w:val="765" w:hRule="atLeast"/>
          <w:jc w:val="center"/>
        </w:trPr>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6</w:t>
            </w:r>
          </w:p>
        </w:tc>
        <w:tc>
          <w:tcPr>
            <w:tcW w:w="676"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财务软件信息管理系统运维服务</w:t>
            </w:r>
          </w:p>
        </w:tc>
        <w:tc>
          <w:tcPr>
            <w:tcW w:w="82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上年合同尾款+本年合同首款</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8.90 </w:t>
            </w:r>
          </w:p>
        </w:tc>
        <w:tc>
          <w:tcPr>
            <w:tcW w:w="50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4.45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4.45 </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8.85 </w:t>
            </w:r>
          </w:p>
        </w:tc>
        <w:tc>
          <w:tcPr>
            <w:tcW w:w="4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4.45 </w:t>
            </w:r>
          </w:p>
        </w:tc>
        <w:tc>
          <w:tcPr>
            <w:tcW w:w="4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0"/>
                <w:szCs w:val="20"/>
              </w:rPr>
            </w:pPr>
            <w:r>
              <w:rPr>
                <w:rFonts w:hint="eastAsia" w:ascii="宋体" w:hAnsi="宋体" w:eastAsia="宋体" w:cs="宋体"/>
                <w:color w:val="000000"/>
                <w:kern w:val="0"/>
                <w:sz w:val="20"/>
                <w:szCs w:val="20"/>
              </w:rPr>
              <w:t xml:space="preserve">4.40 </w:t>
            </w:r>
          </w:p>
        </w:tc>
        <w:tc>
          <w:tcPr>
            <w:tcW w:w="4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99.44%</w:t>
            </w:r>
          </w:p>
        </w:tc>
      </w:tr>
    </w:tbl>
    <w:p>
      <w:pPr>
        <w:adjustRightInd w:val="0"/>
        <w:snapToGrid w:val="0"/>
        <w:spacing w:line="360" w:lineRule="auto"/>
        <w:ind w:firstLine="400" w:firstLineChars="200"/>
        <w:jc w:val="center"/>
        <w:rPr>
          <w:rFonts w:ascii="宋体" w:hAnsi="宋体" w:eastAsia="宋体"/>
          <w:kern w:val="0"/>
          <w:sz w:val="20"/>
          <w:szCs w:val="20"/>
          <w:lang w:bidi="zh-CN"/>
        </w:rPr>
      </w:pPr>
    </w:p>
    <w:bookmarkEnd w:id="5"/>
    <w:p>
      <w:pPr>
        <w:adjustRightInd w:val="0"/>
        <w:snapToGrid w:val="0"/>
        <w:spacing w:line="560" w:lineRule="exact"/>
        <w:ind w:firstLine="640" w:firstLineChars="200"/>
        <w:outlineLvl w:val="1"/>
        <w:rPr>
          <w:rFonts w:ascii="楷体_GB2312" w:hAnsi="Times New Roman" w:eastAsia="楷体_GB2312"/>
          <w:bCs/>
          <w:caps/>
          <w:sz w:val="32"/>
          <w:szCs w:val="32"/>
        </w:rPr>
      </w:pPr>
      <w:bookmarkStart w:id="6" w:name="_Toc7357"/>
      <w:bookmarkStart w:id="7" w:name="_Toc130895910"/>
      <w:bookmarkStart w:id="8" w:name="_Toc167139768"/>
      <w:bookmarkStart w:id="9" w:name="_Hlk129877922"/>
      <w:r>
        <w:rPr>
          <w:rFonts w:hint="eastAsia" w:ascii="楷体_GB2312" w:hAnsi="Times New Roman" w:eastAsia="楷体_GB2312"/>
          <w:bCs/>
          <w:caps/>
          <w:sz w:val="32"/>
          <w:szCs w:val="32"/>
        </w:rPr>
        <w:t>（二）项目绩效目标</w:t>
      </w:r>
      <w:bookmarkEnd w:id="6"/>
      <w:bookmarkEnd w:id="7"/>
      <w:bookmarkEnd w:id="8"/>
    </w:p>
    <w:bookmarkEnd w:id="9"/>
    <w:p>
      <w:pPr>
        <w:adjustRightInd w:val="0"/>
        <w:snapToGrid w:val="0"/>
        <w:spacing w:line="560" w:lineRule="exact"/>
        <w:ind w:firstLine="640" w:firstLineChars="200"/>
        <w:outlineLvl w:val="2"/>
        <w:rPr>
          <w:rFonts w:ascii="仿宋_GB2312" w:hAnsi="Times New Roman" w:eastAsia="仿宋_GB2312"/>
          <w:kern w:val="0"/>
          <w:sz w:val="32"/>
          <w:szCs w:val="32"/>
          <w:lang w:bidi="zh-CN"/>
        </w:rPr>
      </w:pPr>
      <w:bookmarkStart w:id="10" w:name="_Hlk129877820"/>
      <w:r>
        <w:rPr>
          <w:rFonts w:ascii="仿宋_GB2312" w:eastAsia="仿宋_GB2312"/>
          <w:sz w:val="32"/>
          <w:szCs w:val="32"/>
        </w:rPr>
        <w:t>1.</w:t>
      </w:r>
      <w:r>
        <w:rPr>
          <w:rFonts w:hint="eastAsia" w:ascii="仿宋_GB2312" w:eastAsia="仿宋_GB2312"/>
          <w:sz w:val="32"/>
          <w:szCs w:val="32"/>
        </w:rPr>
        <w:t>项目年度绩效目标</w:t>
      </w:r>
    </w:p>
    <w:p>
      <w:pPr>
        <w:adjustRightInd w:val="0"/>
        <w:snapToGrid w:val="0"/>
        <w:spacing w:line="560" w:lineRule="exact"/>
        <w:ind w:firstLine="640" w:firstLineChars="200"/>
        <w:rPr>
          <w:rFonts w:ascii="仿宋_GB2312" w:hAnsi="Times New Roman" w:eastAsia="仿宋_GB2312"/>
          <w:sz w:val="32"/>
          <w:szCs w:val="32"/>
        </w:rPr>
      </w:pPr>
      <w:r>
        <w:rPr>
          <w:rFonts w:hint="eastAsia" w:ascii="仿宋_GB2312" w:hAnsi="Times New Roman" w:eastAsia="仿宋_GB2312"/>
          <w:sz w:val="32"/>
          <w:szCs w:val="32"/>
        </w:rPr>
        <w:t>该项目2</w:t>
      </w:r>
      <w:r>
        <w:rPr>
          <w:rFonts w:ascii="仿宋_GB2312" w:hAnsi="Times New Roman" w:eastAsia="仿宋_GB2312"/>
          <w:sz w:val="32"/>
          <w:szCs w:val="32"/>
        </w:rPr>
        <w:t>02</w:t>
      </w:r>
      <w:r>
        <w:rPr>
          <w:rFonts w:hint="eastAsia" w:ascii="仿宋_GB2312" w:hAnsi="Times New Roman" w:eastAsia="仿宋_GB2312"/>
          <w:sz w:val="32"/>
          <w:szCs w:val="32"/>
        </w:rPr>
        <w:t>3年度绩效目标为：</w:t>
      </w:r>
    </w:p>
    <w:p>
      <w:pPr>
        <w:adjustRightInd w:val="0"/>
        <w:snapToGrid w:val="0"/>
        <w:spacing w:line="560" w:lineRule="exact"/>
        <w:ind w:firstLine="640" w:firstLineChars="200"/>
        <w:rPr>
          <w:rFonts w:ascii="仿宋_GB2312" w:hAnsi="Times New Roman" w:eastAsia="仿宋_GB2312"/>
          <w:sz w:val="32"/>
          <w:szCs w:val="32"/>
        </w:rPr>
      </w:pPr>
      <w:r>
        <w:rPr>
          <w:rFonts w:hint="eastAsia" w:ascii="仿宋_GB2312" w:hAnsi="Times New Roman" w:eastAsia="仿宋_GB2312"/>
          <w:sz w:val="32"/>
          <w:szCs w:val="32"/>
        </w:rPr>
        <w:t>（1）</w:t>
      </w:r>
      <w:r>
        <w:rPr>
          <w:rFonts w:ascii="仿宋_GB2312" w:hAnsi="Times New Roman" w:eastAsia="仿宋_GB2312"/>
          <w:sz w:val="32"/>
          <w:szCs w:val="32"/>
        </w:rPr>
        <w:t>按照财政要求，开展市政务局年度预算评审工作，提高预算编制质量，优化资源配置。</w:t>
      </w:r>
    </w:p>
    <w:p>
      <w:pPr>
        <w:adjustRightInd w:val="0"/>
        <w:snapToGrid w:val="0"/>
        <w:spacing w:line="560" w:lineRule="exact"/>
        <w:ind w:firstLine="640" w:firstLineChars="200"/>
        <w:rPr>
          <w:rFonts w:ascii="仿宋_GB2312" w:hAnsi="Times New Roman" w:eastAsia="仿宋_GB2312"/>
          <w:sz w:val="32"/>
          <w:szCs w:val="32"/>
        </w:rPr>
      </w:pPr>
      <w:r>
        <w:rPr>
          <w:rFonts w:hint="eastAsia" w:ascii="仿宋_GB2312" w:hAnsi="Times New Roman" w:eastAsia="仿宋_GB2312"/>
          <w:sz w:val="32"/>
          <w:szCs w:val="32"/>
        </w:rPr>
        <w:t>（2）</w:t>
      </w:r>
      <w:r>
        <w:rPr>
          <w:rFonts w:ascii="仿宋_GB2312" w:hAnsi="Times New Roman" w:eastAsia="仿宋_GB2312"/>
          <w:sz w:val="32"/>
          <w:szCs w:val="32"/>
        </w:rPr>
        <w:t>开展绩效目标审核辅导、半年绩效跟踪监控、部门绩效评价工作，提高部门预算资金使用效率、效益。</w:t>
      </w:r>
    </w:p>
    <w:p>
      <w:pPr>
        <w:adjustRightInd w:val="0"/>
        <w:snapToGrid w:val="0"/>
        <w:spacing w:line="560" w:lineRule="exact"/>
        <w:ind w:firstLine="640" w:firstLineChars="200"/>
        <w:rPr>
          <w:rFonts w:ascii="仿宋_GB2312" w:hAnsi="Times New Roman" w:eastAsia="仿宋_GB2312"/>
          <w:sz w:val="32"/>
          <w:szCs w:val="32"/>
        </w:rPr>
      </w:pPr>
      <w:r>
        <w:rPr>
          <w:rFonts w:hint="eastAsia" w:ascii="仿宋_GB2312" w:hAnsi="Times New Roman" w:eastAsia="仿宋_GB2312"/>
          <w:sz w:val="32"/>
          <w:szCs w:val="32"/>
        </w:rPr>
        <w:t>（3）</w:t>
      </w:r>
      <w:r>
        <w:rPr>
          <w:rFonts w:ascii="仿宋_GB2312" w:hAnsi="Times New Roman" w:eastAsia="仿宋_GB2312"/>
          <w:sz w:val="32"/>
          <w:szCs w:val="32"/>
        </w:rPr>
        <w:t>对北京市网上政务服务大厅运行中心</w:t>
      </w:r>
      <w:r>
        <w:rPr>
          <w:rFonts w:hint="eastAsia" w:ascii="仿宋_GB2312" w:hAnsi="Times New Roman" w:eastAsia="仿宋_GB2312"/>
          <w:sz w:val="32"/>
          <w:szCs w:val="32"/>
          <w:lang w:eastAsia="zh-CN"/>
        </w:rPr>
        <w:t>账户</w:t>
      </w:r>
      <w:r>
        <w:rPr>
          <w:rFonts w:ascii="仿宋_GB2312" w:hAnsi="Times New Roman" w:eastAsia="仿宋_GB2312"/>
          <w:sz w:val="32"/>
          <w:szCs w:val="32"/>
        </w:rPr>
        <w:t>、党费账户、工会经费账户的会计科目设置、会计处理方法、会计档案管理等开展财务管理服务，确保各项支出符合法律法规，提升财务会计业务规范性。</w:t>
      </w:r>
    </w:p>
    <w:p>
      <w:pPr>
        <w:adjustRightInd w:val="0"/>
        <w:snapToGrid w:val="0"/>
        <w:spacing w:line="560" w:lineRule="exact"/>
        <w:ind w:firstLine="640" w:firstLineChars="200"/>
        <w:rPr>
          <w:rFonts w:ascii="仿宋_GB2312" w:hAnsi="Times New Roman" w:eastAsia="仿宋_GB2312"/>
          <w:sz w:val="32"/>
          <w:szCs w:val="32"/>
        </w:rPr>
      </w:pPr>
      <w:r>
        <w:rPr>
          <w:rFonts w:hint="eastAsia" w:ascii="仿宋_GB2312" w:hAnsi="Times New Roman" w:eastAsia="仿宋_GB2312"/>
          <w:sz w:val="32"/>
          <w:szCs w:val="32"/>
        </w:rPr>
        <w:t>（4）</w:t>
      </w:r>
      <w:r>
        <w:rPr>
          <w:rFonts w:ascii="仿宋_GB2312" w:hAnsi="Times New Roman" w:eastAsia="仿宋_GB2312"/>
          <w:sz w:val="32"/>
          <w:szCs w:val="32"/>
        </w:rPr>
        <w:t>对政务局的财务支出状况进行审计，加强预算管理工作，提高财政资金使用效益。</w:t>
      </w:r>
    </w:p>
    <w:p>
      <w:pPr>
        <w:adjustRightInd w:val="0"/>
        <w:snapToGrid w:val="0"/>
        <w:spacing w:line="560" w:lineRule="exact"/>
        <w:ind w:firstLine="640" w:firstLineChars="200"/>
        <w:rPr>
          <w:rFonts w:ascii="仿宋_GB2312" w:hAnsi="Times New Roman" w:eastAsia="仿宋_GB2312"/>
          <w:sz w:val="32"/>
          <w:szCs w:val="32"/>
        </w:rPr>
      </w:pPr>
      <w:r>
        <w:rPr>
          <w:rFonts w:hint="eastAsia" w:ascii="仿宋_GB2312" w:hAnsi="Times New Roman" w:eastAsia="仿宋_GB2312"/>
          <w:sz w:val="32"/>
          <w:szCs w:val="32"/>
        </w:rPr>
        <w:t>（5）</w:t>
      </w:r>
      <w:r>
        <w:rPr>
          <w:rFonts w:ascii="仿宋_GB2312" w:hAnsi="Times New Roman" w:eastAsia="仿宋_GB2312"/>
          <w:sz w:val="32"/>
          <w:szCs w:val="32"/>
        </w:rPr>
        <w:t>通过财务软件的运维工作，保障财务基础数据管理、账务管理、电子报表、出纳、决算等工作的正常开展。</w:t>
      </w:r>
    </w:p>
    <w:p>
      <w:pPr>
        <w:adjustRightInd w:val="0"/>
        <w:snapToGrid w:val="0"/>
        <w:spacing w:line="560" w:lineRule="exact"/>
        <w:ind w:firstLine="640" w:firstLineChars="200"/>
        <w:rPr>
          <w:rFonts w:ascii="仿宋_GB2312" w:hAnsi="Times New Roman" w:eastAsia="仿宋_GB2312"/>
          <w:sz w:val="32"/>
          <w:szCs w:val="32"/>
        </w:rPr>
      </w:pPr>
      <w:r>
        <w:rPr>
          <w:rFonts w:hint="eastAsia" w:ascii="仿宋_GB2312" w:hAnsi="Times New Roman" w:eastAsia="仿宋_GB2312"/>
          <w:sz w:val="32"/>
          <w:szCs w:val="32"/>
        </w:rPr>
        <w:t>（6）</w:t>
      </w:r>
      <w:r>
        <w:rPr>
          <w:rFonts w:ascii="仿宋_GB2312" w:hAnsi="Times New Roman" w:eastAsia="仿宋_GB2312"/>
          <w:sz w:val="32"/>
          <w:szCs w:val="32"/>
        </w:rPr>
        <w:t>加强内控管理，通过制定制度、实施措施和执行程序，对经济活动的风险进行防范和管控，从而合理保证单位经济活动合法合规、资产安全和使用有效、财务信息真实完整，进一步提高公共服务的效率和效果。</w:t>
      </w:r>
    </w:p>
    <w:p>
      <w:pPr>
        <w:adjustRightInd w:val="0"/>
        <w:snapToGrid w:val="0"/>
        <w:spacing w:line="560" w:lineRule="exact"/>
        <w:ind w:firstLine="640" w:firstLineChars="200"/>
        <w:outlineLvl w:val="2"/>
        <w:rPr>
          <w:rFonts w:ascii="仿宋_GB2312" w:eastAsia="仿宋_GB2312"/>
          <w:sz w:val="32"/>
          <w:szCs w:val="32"/>
        </w:rPr>
      </w:pPr>
      <w:r>
        <w:rPr>
          <w:rFonts w:ascii="仿宋_GB2312" w:eastAsia="仿宋_GB2312"/>
          <w:sz w:val="32"/>
          <w:szCs w:val="32"/>
        </w:rPr>
        <w:t>2.</w:t>
      </w:r>
      <w:r>
        <w:rPr>
          <w:rFonts w:hint="eastAsia" w:ascii="仿宋_GB2312" w:eastAsia="仿宋_GB2312"/>
          <w:sz w:val="32"/>
          <w:szCs w:val="32"/>
        </w:rPr>
        <w:t>项目年度绩效指标</w:t>
      </w:r>
    </w:p>
    <w:p>
      <w:pPr>
        <w:adjustRightInd w:val="0"/>
        <w:snapToGrid w:val="0"/>
        <w:spacing w:line="560" w:lineRule="exact"/>
        <w:ind w:firstLine="640" w:firstLineChars="200"/>
        <w:rPr>
          <w:rFonts w:ascii="仿宋_GB2312" w:hAnsi="Times New Roman" w:eastAsia="仿宋_GB2312"/>
          <w:sz w:val="32"/>
          <w:szCs w:val="32"/>
        </w:rPr>
      </w:pPr>
      <w:r>
        <w:rPr>
          <w:rFonts w:hint="eastAsia" w:ascii="仿宋_GB2312" w:hAnsi="Times New Roman" w:eastAsia="仿宋_GB2312"/>
          <w:sz w:val="32"/>
          <w:szCs w:val="32"/>
        </w:rPr>
        <w:t>该项目根据年度绩效目标设定了绩效指标，2</w:t>
      </w:r>
      <w:r>
        <w:rPr>
          <w:rFonts w:ascii="仿宋_GB2312" w:hAnsi="Times New Roman" w:eastAsia="仿宋_GB2312"/>
          <w:sz w:val="32"/>
          <w:szCs w:val="32"/>
        </w:rPr>
        <w:t>02</w:t>
      </w:r>
      <w:r>
        <w:rPr>
          <w:rFonts w:hint="eastAsia" w:ascii="仿宋_GB2312" w:hAnsi="Times New Roman" w:eastAsia="仿宋_GB2312"/>
          <w:sz w:val="32"/>
          <w:szCs w:val="32"/>
        </w:rPr>
        <w:t>3年度项目绩效指标情况见表</w:t>
      </w:r>
      <w:r>
        <w:rPr>
          <w:rFonts w:ascii="仿宋_GB2312" w:hAnsi="Times New Roman" w:eastAsia="仿宋_GB2312"/>
          <w:sz w:val="32"/>
          <w:szCs w:val="32"/>
        </w:rPr>
        <w:t>3</w:t>
      </w:r>
      <w:r>
        <w:rPr>
          <w:rFonts w:hint="eastAsia" w:ascii="仿宋_GB2312" w:hAnsi="Times New Roman" w:eastAsia="仿宋_GB2312"/>
          <w:sz w:val="32"/>
          <w:szCs w:val="32"/>
        </w:rPr>
        <w:t>。</w:t>
      </w:r>
    </w:p>
    <w:p>
      <w:pPr>
        <w:adjustRightInd w:val="0"/>
        <w:snapToGrid w:val="0"/>
        <w:spacing w:line="360" w:lineRule="auto"/>
        <w:ind w:firstLine="280" w:firstLineChars="100"/>
        <w:jc w:val="center"/>
        <w:rPr>
          <w:rFonts w:ascii="黑体" w:hAnsi="黑体" w:eastAsia="黑体"/>
          <w:sz w:val="28"/>
          <w:szCs w:val="28"/>
        </w:rPr>
      </w:pPr>
      <w:r>
        <w:rPr>
          <w:rFonts w:hint="eastAsia" w:ascii="黑体" w:hAnsi="黑体" w:eastAsia="黑体"/>
          <w:sz w:val="28"/>
          <w:szCs w:val="28"/>
        </w:rPr>
        <w:t>表</w:t>
      </w:r>
      <w:r>
        <w:rPr>
          <w:rFonts w:ascii="黑体" w:hAnsi="黑体" w:eastAsia="黑体"/>
          <w:sz w:val="28"/>
          <w:szCs w:val="28"/>
        </w:rPr>
        <w:t>3</w:t>
      </w:r>
      <w:r>
        <w:rPr>
          <w:rFonts w:hint="eastAsia" w:ascii="黑体" w:hAnsi="黑体" w:eastAsia="黑体"/>
          <w:sz w:val="28"/>
          <w:szCs w:val="28"/>
        </w:rPr>
        <w:t>：2</w:t>
      </w:r>
      <w:r>
        <w:rPr>
          <w:rFonts w:ascii="黑体" w:hAnsi="黑体" w:eastAsia="黑体"/>
          <w:sz w:val="28"/>
          <w:szCs w:val="28"/>
        </w:rPr>
        <w:t>02</w:t>
      </w:r>
      <w:r>
        <w:rPr>
          <w:rFonts w:hint="eastAsia" w:ascii="黑体" w:hAnsi="黑体" w:eastAsia="黑体"/>
          <w:sz w:val="28"/>
          <w:szCs w:val="28"/>
        </w:rPr>
        <w:t>3年度财务综合服务项目绩效指标</w:t>
      </w:r>
    </w:p>
    <w:tbl>
      <w:tblPr>
        <w:tblStyle w:val="12"/>
        <w:tblW w:w="5000" w:type="pct"/>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47"/>
        <w:gridCol w:w="699"/>
        <w:gridCol w:w="5460"/>
        <w:gridCol w:w="16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blHeader/>
        </w:trPr>
        <w:tc>
          <w:tcPr>
            <w:tcW w:w="327" w:type="pct"/>
            <w:vAlign w:val="center"/>
          </w:tcPr>
          <w:p>
            <w:pPr>
              <w:widowControl/>
              <w:jc w:val="center"/>
              <w:rPr>
                <w:rFonts w:ascii="宋体" w:hAnsi="宋体" w:eastAsia="宋体" w:cs="Arial"/>
                <w:b/>
                <w:kern w:val="0"/>
                <w:sz w:val="20"/>
                <w:szCs w:val="20"/>
              </w:rPr>
            </w:pPr>
            <w:r>
              <w:rPr>
                <w:rFonts w:hint="eastAsia" w:ascii="宋体" w:hAnsi="宋体" w:eastAsia="宋体" w:cs="Arial"/>
                <w:b/>
                <w:kern w:val="0"/>
                <w:sz w:val="20"/>
                <w:szCs w:val="20"/>
              </w:rPr>
              <w:t>一级指标</w:t>
            </w:r>
          </w:p>
        </w:tc>
        <w:tc>
          <w:tcPr>
            <w:tcW w:w="418" w:type="pct"/>
            <w:shd w:val="clear" w:color="auto" w:fill="auto"/>
            <w:vAlign w:val="center"/>
          </w:tcPr>
          <w:p>
            <w:pPr>
              <w:widowControl/>
              <w:jc w:val="center"/>
              <w:rPr>
                <w:rFonts w:ascii="宋体" w:hAnsi="宋体" w:eastAsia="宋体" w:cs="Arial"/>
                <w:bCs/>
                <w:kern w:val="0"/>
                <w:sz w:val="20"/>
                <w:szCs w:val="20"/>
              </w:rPr>
            </w:pPr>
            <w:r>
              <w:rPr>
                <w:rFonts w:hint="eastAsia" w:ascii="宋体" w:hAnsi="宋体" w:eastAsia="宋体" w:cs="Arial"/>
                <w:b/>
                <w:kern w:val="0"/>
                <w:sz w:val="20"/>
                <w:szCs w:val="20"/>
              </w:rPr>
              <w:t>二级</w:t>
            </w:r>
          </w:p>
          <w:p>
            <w:pPr>
              <w:widowControl/>
              <w:jc w:val="center"/>
              <w:rPr>
                <w:rFonts w:ascii="宋体" w:hAnsi="宋体" w:eastAsia="宋体" w:cs="Arial"/>
                <w:b/>
                <w:kern w:val="0"/>
                <w:sz w:val="20"/>
                <w:szCs w:val="20"/>
              </w:rPr>
            </w:pPr>
            <w:r>
              <w:rPr>
                <w:rFonts w:hint="eastAsia" w:ascii="宋体" w:hAnsi="宋体" w:eastAsia="宋体" w:cs="Arial"/>
                <w:b/>
                <w:kern w:val="0"/>
                <w:sz w:val="20"/>
                <w:szCs w:val="20"/>
              </w:rPr>
              <w:t>指标</w:t>
            </w:r>
          </w:p>
        </w:tc>
        <w:tc>
          <w:tcPr>
            <w:tcW w:w="3265" w:type="pct"/>
            <w:shd w:val="clear" w:color="auto" w:fill="auto"/>
            <w:vAlign w:val="center"/>
          </w:tcPr>
          <w:p>
            <w:pPr>
              <w:widowControl/>
              <w:jc w:val="center"/>
              <w:rPr>
                <w:rFonts w:ascii="宋体" w:hAnsi="宋体" w:eastAsia="宋体" w:cs="Arial"/>
                <w:b/>
                <w:kern w:val="0"/>
                <w:sz w:val="20"/>
                <w:szCs w:val="20"/>
              </w:rPr>
            </w:pPr>
            <w:r>
              <w:rPr>
                <w:rFonts w:hint="eastAsia" w:ascii="宋体" w:hAnsi="宋体" w:eastAsia="宋体" w:cs="Arial"/>
                <w:b/>
                <w:kern w:val="0"/>
                <w:sz w:val="20"/>
                <w:szCs w:val="20"/>
              </w:rPr>
              <w:t>三级指标</w:t>
            </w:r>
          </w:p>
        </w:tc>
        <w:tc>
          <w:tcPr>
            <w:tcW w:w="990" w:type="pct"/>
            <w:shd w:val="clear" w:color="auto" w:fill="auto"/>
            <w:vAlign w:val="center"/>
          </w:tcPr>
          <w:p>
            <w:pPr>
              <w:widowControl/>
              <w:jc w:val="center"/>
              <w:rPr>
                <w:rFonts w:ascii="宋体" w:hAnsi="宋体" w:eastAsia="宋体" w:cs="Arial"/>
                <w:b/>
                <w:kern w:val="0"/>
                <w:sz w:val="20"/>
                <w:szCs w:val="20"/>
              </w:rPr>
            </w:pPr>
            <w:r>
              <w:rPr>
                <w:rFonts w:hint="eastAsia" w:ascii="宋体" w:hAnsi="宋体" w:eastAsia="宋体" w:cs="Arial"/>
                <w:b/>
                <w:kern w:val="0"/>
                <w:sz w:val="20"/>
                <w:szCs w:val="20"/>
              </w:rPr>
              <w:t>年度指标值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restart"/>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成本指标</w:t>
            </w:r>
          </w:p>
        </w:tc>
        <w:tc>
          <w:tcPr>
            <w:tcW w:w="418" w:type="pct"/>
            <w:vMerge w:val="restart"/>
            <w:shd w:val="clear" w:color="auto" w:fill="auto"/>
            <w:vAlign w:val="center"/>
          </w:tcPr>
          <w:p>
            <w:pPr>
              <w:jc w:val="center"/>
              <w:rPr>
                <w:rFonts w:ascii="宋体" w:hAnsi="宋体" w:eastAsia="宋体" w:cs="Arial"/>
                <w:kern w:val="0"/>
                <w:sz w:val="20"/>
                <w:szCs w:val="20"/>
              </w:rPr>
            </w:pPr>
            <w:r>
              <w:rPr>
                <w:rFonts w:hint="eastAsia" w:ascii="宋体" w:hAnsi="宋体" w:eastAsia="宋体" w:cs="Arial"/>
                <w:kern w:val="0"/>
                <w:sz w:val="20"/>
                <w:szCs w:val="20"/>
              </w:rPr>
              <w:t>经济成本指标</w:t>
            </w: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内部控制管理服务项目委托业务费</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≤20万元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内部审计服务项目托业务费</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≤20.84万元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财务软件信息管理系统运维服务费托业务费</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≤8.9万元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预算绩效管理项目</w:t>
            </w:r>
            <w:r>
              <w:rPr>
                <w:rFonts w:hint="eastAsia" w:asciiTheme="minorEastAsia" w:hAnsiTheme="minorEastAsia" w:eastAsiaTheme="minorEastAsia"/>
                <w:color w:val="000000"/>
                <w:sz w:val="20"/>
                <w:szCs w:val="20"/>
                <w:lang w:eastAsia="zh-CN"/>
              </w:rPr>
              <w:t>委</w:t>
            </w:r>
            <w:r>
              <w:rPr>
                <w:rFonts w:hint="eastAsia" w:asciiTheme="minorEastAsia" w:hAnsiTheme="minorEastAsia" w:eastAsiaTheme="minorEastAsia"/>
                <w:color w:val="000000"/>
                <w:sz w:val="20"/>
                <w:szCs w:val="20"/>
              </w:rPr>
              <w:t>托业务费</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≤54.575万元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预算评审项目托业务费</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≤35万元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widowControl/>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财务综合服务项目</w:t>
            </w:r>
            <w:r>
              <w:rPr>
                <w:rFonts w:hint="eastAsia" w:asciiTheme="minorEastAsia" w:hAnsiTheme="minorEastAsia" w:eastAsiaTheme="minorEastAsia"/>
                <w:color w:val="000000"/>
                <w:sz w:val="20"/>
                <w:szCs w:val="20"/>
                <w:lang w:eastAsia="zh-CN"/>
              </w:rPr>
              <w:t>－</w:t>
            </w:r>
            <w:r>
              <w:rPr>
                <w:rFonts w:hint="eastAsia" w:asciiTheme="minorEastAsia" w:hAnsiTheme="minorEastAsia" w:eastAsiaTheme="minorEastAsia"/>
                <w:color w:val="000000"/>
                <w:sz w:val="20"/>
                <w:szCs w:val="20"/>
              </w:rPr>
              <w:t>财务会计业务规范提升服务项目托业务费</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≤85.385万元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restart"/>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产出指标</w:t>
            </w:r>
          </w:p>
        </w:tc>
        <w:tc>
          <w:tcPr>
            <w:tcW w:w="418" w:type="pct"/>
            <w:vMerge w:val="restart"/>
            <w:shd w:val="clear" w:color="auto" w:fill="auto"/>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数量</w:t>
            </w:r>
          </w:p>
          <w:p>
            <w:pPr>
              <w:widowControl/>
              <w:jc w:val="center"/>
              <w:rPr>
                <w:rFonts w:ascii="宋体" w:hAnsi="宋体" w:eastAsia="宋体" w:cs="Arial"/>
                <w:kern w:val="0"/>
                <w:sz w:val="20"/>
                <w:szCs w:val="20"/>
              </w:rPr>
            </w:pPr>
            <w:r>
              <w:rPr>
                <w:rFonts w:hint="eastAsia" w:ascii="宋体" w:hAnsi="宋体" w:eastAsia="宋体" w:cs="Arial"/>
                <w:kern w:val="0"/>
                <w:sz w:val="20"/>
                <w:szCs w:val="20"/>
              </w:rPr>
              <w:t>指标</w:t>
            </w: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财务预算绩效管理工作</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≥6类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jc w:val="center"/>
              <w:rPr>
                <w:rFonts w:ascii="宋体" w:hAnsi="宋体" w:eastAsia="宋体" w:cs="Arial"/>
                <w:kern w:val="0"/>
                <w:sz w:val="20"/>
                <w:szCs w:val="20"/>
              </w:rPr>
            </w:pPr>
          </w:p>
        </w:tc>
        <w:tc>
          <w:tcPr>
            <w:tcW w:w="418" w:type="pct"/>
            <w:vMerge w:val="continue"/>
            <w:shd w:val="clear" w:color="auto" w:fill="auto"/>
            <w:vAlign w:val="center"/>
          </w:tcPr>
          <w:p>
            <w:pPr>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财务综合服务</w:t>
            </w:r>
            <w:r>
              <w:rPr>
                <w:rFonts w:hint="eastAsia" w:asciiTheme="minorEastAsia" w:hAnsiTheme="minorEastAsia" w:eastAsiaTheme="minorEastAsia"/>
                <w:color w:val="000000"/>
                <w:sz w:val="20"/>
                <w:szCs w:val="20"/>
                <w:lang w:eastAsia="zh-CN"/>
              </w:rPr>
              <w:t>－</w:t>
            </w:r>
            <w:r>
              <w:rPr>
                <w:rFonts w:hint="eastAsia" w:asciiTheme="minorEastAsia" w:hAnsiTheme="minorEastAsia" w:eastAsiaTheme="minorEastAsia"/>
                <w:color w:val="000000"/>
                <w:sz w:val="20"/>
                <w:szCs w:val="20"/>
              </w:rPr>
              <w:t>财务会计规范提升工作</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5类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jc w:val="center"/>
              <w:rPr>
                <w:rFonts w:ascii="宋体" w:hAnsi="宋体" w:eastAsia="宋体" w:cs="Arial"/>
                <w:kern w:val="0"/>
                <w:sz w:val="20"/>
                <w:szCs w:val="20"/>
              </w:rPr>
            </w:pPr>
          </w:p>
        </w:tc>
        <w:tc>
          <w:tcPr>
            <w:tcW w:w="418" w:type="pct"/>
            <w:vMerge w:val="continue"/>
            <w:shd w:val="clear" w:color="auto" w:fill="auto"/>
            <w:vAlign w:val="center"/>
          </w:tcPr>
          <w:p>
            <w:pPr>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内控建设与管理工作</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1项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jc w:val="center"/>
              <w:rPr>
                <w:rFonts w:ascii="宋体" w:hAnsi="宋体" w:eastAsia="宋体" w:cs="Arial"/>
                <w:kern w:val="0"/>
                <w:sz w:val="20"/>
                <w:szCs w:val="20"/>
              </w:rPr>
            </w:pPr>
          </w:p>
        </w:tc>
        <w:tc>
          <w:tcPr>
            <w:tcW w:w="418" w:type="pct"/>
            <w:vMerge w:val="continue"/>
            <w:shd w:val="clear" w:color="auto" w:fill="auto"/>
            <w:vAlign w:val="center"/>
          </w:tcPr>
          <w:p>
            <w:pPr>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财务软件服务（用友软件）</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1项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jc w:val="center"/>
              <w:rPr>
                <w:rFonts w:ascii="宋体" w:hAnsi="宋体" w:eastAsia="宋体" w:cs="Arial"/>
                <w:kern w:val="0"/>
                <w:sz w:val="20"/>
                <w:szCs w:val="20"/>
              </w:rPr>
            </w:pPr>
          </w:p>
        </w:tc>
        <w:tc>
          <w:tcPr>
            <w:tcW w:w="418" w:type="pct"/>
            <w:vMerge w:val="continue"/>
            <w:shd w:val="clear" w:color="auto" w:fill="auto"/>
            <w:vAlign w:val="center"/>
          </w:tcPr>
          <w:p>
            <w:pPr>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财务内部审计对象（本级行政、2家所属单位）</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3个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restart"/>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续上页</w:t>
            </w:r>
          </w:p>
        </w:tc>
        <w:tc>
          <w:tcPr>
            <w:tcW w:w="418" w:type="pct"/>
            <w:shd w:val="clear" w:color="auto" w:fill="auto"/>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续上页</w:t>
            </w: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财务预算评审工作（预算评审项目数量根据实际工作确定，项目金额≤100万元、评审费用1万元/个，项目金额&gt;100万元，评审费用2万元/个）</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1项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restart"/>
            <w:shd w:val="clear" w:color="auto" w:fill="auto"/>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质量</w:t>
            </w:r>
          </w:p>
          <w:p>
            <w:pPr>
              <w:widowControl/>
              <w:jc w:val="center"/>
              <w:rPr>
                <w:rFonts w:ascii="宋体" w:hAnsi="宋体" w:eastAsia="宋体" w:cs="Arial"/>
                <w:kern w:val="0"/>
                <w:sz w:val="20"/>
                <w:szCs w:val="20"/>
              </w:rPr>
            </w:pPr>
            <w:r>
              <w:rPr>
                <w:rFonts w:hint="eastAsia" w:ascii="宋体" w:hAnsi="宋体" w:eastAsia="宋体" w:cs="Arial"/>
                <w:kern w:val="0"/>
                <w:sz w:val="20"/>
                <w:szCs w:val="20"/>
              </w:rPr>
              <w:t>指标</w:t>
            </w: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财务用友软件全年正常使用率</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widowControl/>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预算评审、预算绩效管理、内部审计、日常综合财务服务、内控管理等工作的开展符合北京市当年最新政策要求</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优良中低差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restart"/>
            <w:shd w:val="clear" w:color="auto" w:fill="auto"/>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时效</w:t>
            </w:r>
          </w:p>
          <w:p>
            <w:pPr>
              <w:widowControl/>
              <w:jc w:val="center"/>
              <w:rPr>
                <w:rFonts w:ascii="宋体" w:hAnsi="宋体" w:eastAsia="宋体" w:cs="Arial"/>
                <w:kern w:val="0"/>
                <w:sz w:val="20"/>
                <w:szCs w:val="20"/>
              </w:rPr>
            </w:pPr>
            <w:r>
              <w:rPr>
                <w:rFonts w:hint="eastAsia" w:ascii="宋体" w:hAnsi="宋体" w:eastAsia="宋体" w:cs="Arial"/>
                <w:kern w:val="0"/>
                <w:sz w:val="20"/>
                <w:szCs w:val="20"/>
              </w:rPr>
              <w:t>指标</w:t>
            </w: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资金支付与合同要求进度的一致性</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widowControl/>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b/>
                <w:bCs/>
                <w:kern w:val="0"/>
                <w:sz w:val="20"/>
                <w:szCs w:val="20"/>
              </w:rPr>
            </w:pPr>
            <w:r>
              <w:rPr>
                <w:rStyle w:val="25"/>
                <w:rFonts w:hint="default" w:asciiTheme="minorEastAsia" w:hAnsiTheme="minorEastAsia" w:eastAsiaTheme="minorEastAsia"/>
                <w:b w:val="0"/>
                <w:bCs w:val="0"/>
                <w:color w:val="auto"/>
              </w:rPr>
              <w:t>预算项目的评审及绩效目标辅导于上一年度12月底前完成、事前评估随报随评、</w:t>
            </w:r>
            <w:r>
              <w:rPr>
                <w:rStyle w:val="27"/>
                <w:rFonts w:hint="default" w:asciiTheme="minorEastAsia" w:hAnsiTheme="minorEastAsia" w:eastAsiaTheme="minorEastAsia"/>
                <w:color w:val="auto"/>
              </w:rPr>
              <w:t>半年绩效监控于当年8月底完成、</w:t>
            </w:r>
            <w:r>
              <w:rPr>
                <w:rStyle w:val="25"/>
                <w:rFonts w:hint="default" w:asciiTheme="minorEastAsia" w:hAnsiTheme="minorEastAsia" w:eastAsiaTheme="minorEastAsia"/>
                <w:b w:val="0"/>
                <w:bCs w:val="0"/>
                <w:color w:val="auto"/>
              </w:rPr>
              <w:t>绩效评价于下一年度5月底前完成，</w:t>
            </w:r>
            <w:r>
              <w:rPr>
                <w:rStyle w:val="27"/>
                <w:rFonts w:hint="default" w:asciiTheme="minorEastAsia" w:hAnsiTheme="minorEastAsia" w:eastAsiaTheme="minorEastAsia"/>
                <w:color w:val="auto"/>
              </w:rPr>
              <w:t>内控报告撰写于下一年度8月前完成，内部审计、成本预算分析根据财政局要求的时间完成</w:t>
            </w:r>
            <w:r>
              <w:rPr>
                <w:rStyle w:val="25"/>
                <w:rFonts w:hint="default" w:asciiTheme="minorEastAsia" w:hAnsiTheme="minorEastAsia" w:eastAsiaTheme="minorEastAsia"/>
                <w:color w:val="auto"/>
              </w:rPr>
              <w:t>，</w:t>
            </w:r>
            <w:r>
              <w:rPr>
                <w:rStyle w:val="25"/>
                <w:rFonts w:hint="default" w:asciiTheme="minorEastAsia" w:hAnsiTheme="minorEastAsia" w:eastAsiaTheme="minorEastAsia"/>
                <w:b w:val="0"/>
                <w:bCs w:val="0"/>
                <w:color w:val="auto"/>
              </w:rPr>
              <w:t>全年提供入账、会计核算、资产管理等财务日常服务工作及财务软件服务</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restart"/>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效益指标</w:t>
            </w:r>
          </w:p>
        </w:tc>
        <w:tc>
          <w:tcPr>
            <w:tcW w:w="418" w:type="pct"/>
            <w:vMerge w:val="restart"/>
            <w:shd w:val="clear" w:color="auto" w:fill="auto"/>
            <w:vAlign w:val="center"/>
          </w:tcPr>
          <w:p>
            <w:pPr>
              <w:widowControl/>
              <w:jc w:val="center"/>
              <w:rPr>
                <w:rFonts w:ascii="宋体" w:hAnsi="宋体" w:eastAsia="宋体" w:cs="Arial"/>
                <w:kern w:val="0"/>
                <w:sz w:val="20"/>
                <w:szCs w:val="20"/>
              </w:rPr>
            </w:pPr>
            <w:r>
              <w:rPr>
                <w:rFonts w:hint="eastAsia" w:ascii="宋体" w:hAnsi="宋体" w:eastAsia="宋体" w:cs="Arial"/>
                <w:kern w:val="0"/>
                <w:sz w:val="20"/>
                <w:szCs w:val="20"/>
              </w:rPr>
              <w:t>社会效益指标</w:t>
            </w: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开展财务日常服务工作，针对会计科目的设置、电子软件使用、会计核算程序、会计处理方法、会计档案管理、账户管理等工作中存在的问题，提出财务建议，协助完善会计核算过程，确保各项支出符合法律法规</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优良中低差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widowControl/>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开展预算评审工作、财务/工会/党建内部审计等审计工作，提高年度预算编制质量，优化年度预算资源配置；对政务局财务支出状况的合法、合规性进行审计，强化财务管理工作，提高财政资金安全性</w:t>
            </w:r>
          </w:p>
        </w:tc>
        <w:tc>
          <w:tcPr>
            <w:tcW w:w="990"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优良中低差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rPr>
        <w:tc>
          <w:tcPr>
            <w:tcW w:w="327" w:type="pct"/>
            <w:vMerge w:val="continue"/>
            <w:vAlign w:val="center"/>
          </w:tcPr>
          <w:p>
            <w:pPr>
              <w:widowControl/>
              <w:jc w:val="center"/>
              <w:rPr>
                <w:rFonts w:ascii="宋体" w:hAnsi="宋体" w:eastAsia="宋体" w:cs="Arial"/>
                <w:kern w:val="0"/>
                <w:sz w:val="20"/>
                <w:szCs w:val="20"/>
              </w:rPr>
            </w:pPr>
          </w:p>
        </w:tc>
        <w:tc>
          <w:tcPr>
            <w:tcW w:w="418" w:type="pct"/>
            <w:vMerge w:val="continue"/>
            <w:shd w:val="clear" w:color="auto" w:fill="auto"/>
            <w:vAlign w:val="center"/>
          </w:tcPr>
          <w:p>
            <w:pPr>
              <w:widowControl/>
              <w:jc w:val="center"/>
              <w:rPr>
                <w:rFonts w:ascii="宋体" w:hAnsi="宋体" w:eastAsia="宋体" w:cs="Arial"/>
                <w:kern w:val="0"/>
                <w:sz w:val="20"/>
                <w:szCs w:val="20"/>
              </w:rPr>
            </w:pPr>
          </w:p>
        </w:tc>
        <w:tc>
          <w:tcPr>
            <w:tcW w:w="3265" w:type="pct"/>
            <w:shd w:val="clear" w:color="auto" w:fill="auto"/>
            <w:vAlign w:val="center"/>
          </w:tcPr>
          <w:p>
            <w:pPr>
              <w:widowControl/>
              <w:jc w:val="center"/>
              <w:rPr>
                <w:rFonts w:cs="Arial" w:asciiTheme="minorEastAsia" w:hAnsiTheme="minorEastAsia" w:eastAsiaTheme="minorEastAsia"/>
                <w:kern w:val="0"/>
                <w:sz w:val="20"/>
                <w:szCs w:val="20"/>
              </w:rPr>
            </w:pPr>
            <w:r>
              <w:rPr>
                <w:rFonts w:hint="eastAsia" w:asciiTheme="minorEastAsia" w:hAnsiTheme="minorEastAsia" w:eastAsiaTheme="minorEastAsia"/>
                <w:color w:val="000000"/>
                <w:sz w:val="20"/>
                <w:szCs w:val="20"/>
              </w:rPr>
              <w:t>通过完成预算绩效管理工作，提高部门预算资金使用的经济性、效率性、效益性，逐渐推进部门实现预算和绩效管理一体化</w:t>
            </w:r>
          </w:p>
        </w:tc>
        <w:tc>
          <w:tcPr>
            <w:tcW w:w="990" w:type="pct"/>
            <w:shd w:val="clear" w:color="auto" w:fill="auto"/>
            <w:vAlign w:val="center"/>
          </w:tcPr>
          <w:p>
            <w:pPr>
              <w:widowControl/>
              <w:jc w:val="center"/>
              <w:rPr>
                <w:rFonts w:cs="Arial" w:asciiTheme="minorEastAsia" w:hAnsiTheme="minorEastAsia" w:eastAsiaTheme="minorEastAsia"/>
                <w:b/>
                <w:bCs/>
                <w:kern w:val="0"/>
                <w:sz w:val="20"/>
                <w:szCs w:val="20"/>
              </w:rPr>
            </w:pPr>
            <w:r>
              <w:rPr>
                <w:rFonts w:hint="eastAsia" w:asciiTheme="minorEastAsia" w:hAnsiTheme="minorEastAsia" w:eastAsiaTheme="minorEastAsia"/>
                <w:color w:val="000000"/>
                <w:sz w:val="20"/>
                <w:szCs w:val="20"/>
              </w:rPr>
              <w:t>优良中低差</w:t>
            </w:r>
          </w:p>
        </w:tc>
      </w:tr>
      <w:bookmarkEnd w:id="10"/>
    </w:tbl>
    <w:p>
      <w:pPr>
        <w:adjustRightInd w:val="0"/>
        <w:snapToGrid w:val="0"/>
        <w:spacing w:line="360" w:lineRule="auto"/>
        <w:rPr>
          <w:rFonts w:ascii="仿宋_GB2312" w:hAnsi="Times New Roman" w:eastAsia="仿宋_GB2312"/>
          <w:sz w:val="20"/>
          <w:szCs w:val="20"/>
        </w:rPr>
      </w:pPr>
    </w:p>
    <w:p>
      <w:pPr>
        <w:adjustRightInd w:val="0"/>
        <w:snapToGrid w:val="0"/>
        <w:spacing w:line="560" w:lineRule="exact"/>
        <w:ind w:firstLine="640" w:firstLineChars="200"/>
        <w:outlineLvl w:val="0"/>
        <w:rPr>
          <w:rFonts w:ascii="Times New Roman" w:hAnsi="Times New Roman" w:eastAsia="黑体"/>
          <w:bCs/>
          <w:caps/>
          <w:sz w:val="32"/>
          <w:szCs w:val="32"/>
        </w:rPr>
      </w:pPr>
      <w:bookmarkStart w:id="11" w:name="_Toc167139769"/>
      <w:bookmarkStart w:id="12" w:name="_Toc7361"/>
      <w:r>
        <w:rPr>
          <w:rFonts w:hint="eastAsia" w:ascii="Times New Roman" w:hAnsi="Times New Roman" w:eastAsia="黑体"/>
          <w:bCs/>
          <w:caps/>
          <w:sz w:val="32"/>
          <w:szCs w:val="32"/>
        </w:rPr>
        <w:t>二、绩效评价工作开展情况</w:t>
      </w:r>
      <w:bookmarkEnd w:id="11"/>
    </w:p>
    <w:p>
      <w:pPr>
        <w:snapToGrid w:val="0"/>
        <w:spacing w:line="560" w:lineRule="exact"/>
        <w:ind w:firstLine="640" w:firstLineChars="200"/>
        <w:outlineLvl w:val="1"/>
        <w:rPr>
          <w:rFonts w:ascii="Times New Roman" w:hAnsi="Times New Roman" w:eastAsia="楷体"/>
          <w:bCs/>
          <w:caps/>
          <w:sz w:val="32"/>
          <w:szCs w:val="32"/>
        </w:rPr>
      </w:pPr>
      <w:bookmarkStart w:id="13" w:name="_Toc167139770"/>
      <w:r>
        <w:rPr>
          <w:rFonts w:hint="eastAsia" w:ascii="Times New Roman" w:hAnsi="Times New Roman" w:eastAsia="楷体"/>
          <w:bCs/>
          <w:caps/>
          <w:sz w:val="32"/>
          <w:szCs w:val="32"/>
        </w:rPr>
        <w:t>（一）绩效评价目的、对象</w:t>
      </w:r>
      <w:bookmarkEnd w:id="13"/>
    </w:p>
    <w:p>
      <w:pPr>
        <w:pStyle w:val="10"/>
        <w:shd w:val="clear" w:color="auto" w:fill="FFFFFF"/>
        <w:adjustRightInd w:val="0"/>
        <w:snapToGrid w:val="0"/>
        <w:spacing w:beforeAutospacing="0" w:afterAutospacing="0" w:line="560" w:lineRule="exact"/>
        <w:ind w:firstLine="640" w:firstLineChars="200"/>
        <w:jc w:val="both"/>
        <w:rPr>
          <w:rFonts w:ascii="仿宋_GB2312" w:hAnsi="Times New Roman" w:eastAsia="仿宋_GB2312"/>
          <w:iCs/>
          <w:sz w:val="32"/>
          <w:szCs w:val="32"/>
          <w:lang w:bidi="zh-CN"/>
        </w:rPr>
      </w:pPr>
      <w:bookmarkStart w:id="14" w:name="_Hlk129880222"/>
      <w:r>
        <w:rPr>
          <w:rFonts w:ascii="仿宋_GB2312" w:hAnsi="仿宋" w:eastAsia="仿宋_GB2312"/>
          <w:kern w:val="2"/>
          <w:sz w:val="32"/>
          <w:szCs w:val="32"/>
        </w:rPr>
        <w:t>依据</w:t>
      </w:r>
      <w:r>
        <w:rPr>
          <w:rFonts w:hint="eastAsia" w:ascii="仿宋_GB2312" w:hAnsi="仿宋_GB2312" w:eastAsia="仿宋_GB2312" w:cs="仿宋_GB2312"/>
          <w:snapToGrid w:val="0"/>
          <w:sz w:val="32"/>
          <w:szCs w:val="32"/>
        </w:rPr>
        <w:t>《北京市项目支出绩效评价管理办法》（京财绩效</w:t>
      </w:r>
      <w:r>
        <w:rPr>
          <w:rFonts w:hint="eastAsia" w:ascii="仿宋_GB2312" w:hAnsi="Times New Roman" w:eastAsia="仿宋_GB2312"/>
          <w:iCs/>
          <w:sz w:val="32"/>
          <w:szCs w:val="32"/>
          <w:lang w:bidi="zh-CN"/>
        </w:rPr>
        <w:t>〔2020〕2</w:t>
      </w:r>
      <w:r>
        <w:rPr>
          <w:rFonts w:ascii="仿宋_GB2312" w:hAnsi="Times New Roman" w:eastAsia="仿宋_GB2312"/>
          <w:iCs/>
          <w:sz w:val="32"/>
          <w:szCs w:val="32"/>
          <w:lang w:bidi="zh-CN"/>
        </w:rPr>
        <w:t>146</w:t>
      </w:r>
      <w:r>
        <w:rPr>
          <w:rFonts w:hint="eastAsia" w:ascii="仿宋_GB2312" w:hAnsi="Times New Roman" w:eastAsia="仿宋_GB2312"/>
          <w:iCs/>
          <w:sz w:val="32"/>
          <w:szCs w:val="32"/>
          <w:lang w:bidi="zh-CN"/>
        </w:rPr>
        <w:t>号</w:t>
      </w:r>
      <w:r>
        <w:rPr>
          <w:rFonts w:hint="eastAsia" w:ascii="仿宋_GB2312" w:hAnsi="仿宋_GB2312" w:eastAsia="仿宋_GB2312" w:cs="仿宋_GB2312"/>
          <w:snapToGrid w:val="0"/>
          <w:sz w:val="32"/>
          <w:szCs w:val="32"/>
        </w:rPr>
        <w:t>）、《北京市市级政府购买服务预算绩效管理办法》（京财综〔2024〕2</w:t>
      </w:r>
      <w:r>
        <w:rPr>
          <w:rFonts w:ascii="仿宋_GB2312" w:hAnsi="仿宋_GB2312" w:eastAsia="仿宋_GB2312" w:cs="仿宋_GB2312"/>
          <w:snapToGrid w:val="0"/>
          <w:sz w:val="32"/>
          <w:szCs w:val="32"/>
        </w:rPr>
        <w:t>1</w:t>
      </w:r>
      <w:r>
        <w:rPr>
          <w:rFonts w:hint="eastAsia" w:ascii="仿宋_GB2312" w:hAnsi="仿宋_GB2312" w:eastAsia="仿宋_GB2312" w:cs="仿宋_GB2312"/>
          <w:snapToGrid w:val="0"/>
          <w:sz w:val="32"/>
          <w:szCs w:val="32"/>
        </w:rPr>
        <w:t>3号）</w:t>
      </w:r>
      <w:r>
        <w:rPr>
          <w:rFonts w:hint="eastAsia" w:ascii="仿宋_GB2312" w:hAnsi="仿宋" w:eastAsia="仿宋_GB2312"/>
          <w:kern w:val="2"/>
          <w:sz w:val="32"/>
          <w:szCs w:val="32"/>
        </w:rPr>
        <w:t>等相关文件规定</w:t>
      </w:r>
      <w:r>
        <w:rPr>
          <w:rFonts w:ascii="仿宋_GB2312" w:hAnsi="仿宋" w:eastAsia="仿宋_GB2312"/>
          <w:kern w:val="2"/>
          <w:sz w:val="32"/>
          <w:szCs w:val="32"/>
        </w:rPr>
        <w:t>，</w:t>
      </w:r>
      <w:r>
        <w:rPr>
          <w:rFonts w:hint="eastAsia" w:ascii="仿宋_GB2312" w:hAnsi="Times New Roman" w:eastAsia="仿宋_GB2312"/>
          <w:iCs/>
          <w:sz w:val="32"/>
          <w:szCs w:val="32"/>
          <w:lang w:bidi="zh-CN"/>
        </w:rPr>
        <w:t>按照市政务服务局项目绩效评价工作要求，评价机构</w:t>
      </w:r>
      <w:r>
        <w:rPr>
          <w:rFonts w:hint="eastAsia" w:ascii="仿宋_GB2312" w:hAnsi="仿宋" w:eastAsia="仿宋_GB2312"/>
          <w:kern w:val="2"/>
          <w:sz w:val="32"/>
          <w:szCs w:val="32"/>
        </w:rPr>
        <w:t>本</w:t>
      </w:r>
      <w:r>
        <w:rPr>
          <w:rFonts w:ascii="仿宋_GB2312" w:hAnsi="仿宋" w:eastAsia="仿宋_GB2312"/>
          <w:kern w:val="2"/>
          <w:sz w:val="32"/>
          <w:szCs w:val="32"/>
        </w:rPr>
        <w:t>次</w:t>
      </w:r>
      <w:r>
        <w:rPr>
          <w:rFonts w:hint="eastAsia" w:ascii="仿宋_GB2312" w:hAnsi="仿宋" w:eastAsia="仿宋_GB2312"/>
          <w:kern w:val="2"/>
          <w:sz w:val="32"/>
          <w:szCs w:val="32"/>
        </w:rPr>
        <w:t>聚焦“2023年财务综合服务项目”</w:t>
      </w:r>
      <w:r>
        <w:rPr>
          <w:rFonts w:hint="eastAsia" w:ascii="仿宋_GB2312" w:hAnsi="Times New Roman" w:eastAsia="仿宋_GB2312"/>
          <w:iCs/>
          <w:sz w:val="32"/>
          <w:szCs w:val="32"/>
          <w:lang w:bidi="zh-CN"/>
        </w:rPr>
        <w:t>资金，在对项目进行全面系统梳理和分析的基础上，评价机构围绕决策、过程、产出、效益四个维度开展绩效评价工作，旨在总结经验、发现问题、剖析原因、提出改进建议，形成项目总体认识和评价结论，为部门科学决策、规范管理提供参考，促进项目实施单位改进工作，提高资源配置效率和资金使用效益。</w:t>
      </w:r>
    </w:p>
    <w:p>
      <w:pPr>
        <w:adjustRightInd w:val="0"/>
        <w:snapToGrid w:val="0"/>
        <w:spacing w:line="560" w:lineRule="exact"/>
        <w:ind w:firstLine="640" w:firstLineChars="200"/>
        <w:outlineLvl w:val="1"/>
        <w:rPr>
          <w:rFonts w:ascii="楷体_GB2312" w:eastAsia="楷体_GB2312"/>
          <w:color w:val="000000"/>
          <w:sz w:val="32"/>
          <w:szCs w:val="32"/>
        </w:rPr>
      </w:pPr>
      <w:bookmarkStart w:id="15" w:name="_Toc167139771"/>
      <w:bookmarkStart w:id="16" w:name="_Toc35588403"/>
      <w:bookmarkStart w:id="17" w:name="_Toc54194565"/>
      <w:bookmarkStart w:id="18" w:name="_Toc130166647"/>
      <w:bookmarkStart w:id="19" w:name="_Toc54252553"/>
      <w:r>
        <w:rPr>
          <w:rFonts w:hint="eastAsia" w:ascii="楷体_GB2312" w:eastAsia="楷体_GB2312"/>
          <w:color w:val="000000"/>
          <w:sz w:val="32"/>
          <w:szCs w:val="32"/>
        </w:rPr>
        <w:t>（二）绩效评价原则、评价方法、评价指标体系</w:t>
      </w:r>
      <w:bookmarkEnd w:id="15"/>
      <w:bookmarkEnd w:id="16"/>
      <w:bookmarkEnd w:id="17"/>
      <w:bookmarkEnd w:id="18"/>
      <w:bookmarkEnd w:id="19"/>
    </w:p>
    <w:p>
      <w:pPr>
        <w:tabs>
          <w:tab w:val="left" w:pos="4065"/>
        </w:tabs>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1.评价原则和方法</w:t>
      </w:r>
    </w:p>
    <w:p>
      <w:pPr>
        <w:adjustRightInd w:val="0"/>
        <w:snapToGrid w:val="0"/>
        <w:spacing w:line="560" w:lineRule="exact"/>
        <w:ind w:firstLine="640" w:firstLineChars="200"/>
        <w:rPr>
          <w:rFonts w:ascii="仿宋_GB2312"/>
          <w:color w:val="000000"/>
          <w:sz w:val="32"/>
          <w:szCs w:val="32"/>
        </w:rPr>
      </w:pPr>
      <w:r>
        <w:rPr>
          <w:rFonts w:hint="eastAsia" w:ascii="仿宋_GB2312" w:hAnsi="宋体" w:eastAsia="仿宋_GB2312"/>
          <w:bCs/>
          <w:color w:val="000000"/>
          <w:sz w:val="32"/>
          <w:szCs w:val="32"/>
        </w:rPr>
        <w:t>本次评价本着科学公正、统筹兼顾、激励约束、公开透明的原则，</w:t>
      </w:r>
      <w:r>
        <w:rPr>
          <w:rFonts w:hint="eastAsia" w:ascii="仿宋_GB2312" w:eastAsia="仿宋_GB2312"/>
          <w:color w:val="000000"/>
          <w:sz w:val="32"/>
          <w:szCs w:val="32"/>
        </w:rPr>
        <w:t>采用全面评价和重点评价相结合、定性分析与定量分析相结合的方式方法</w:t>
      </w:r>
      <w:r>
        <w:rPr>
          <w:rFonts w:hint="eastAsia" w:ascii="仿宋_GB2312" w:hAnsi="宋体" w:eastAsia="仿宋_GB2312"/>
          <w:bCs/>
          <w:color w:val="000000"/>
          <w:sz w:val="32"/>
          <w:szCs w:val="32"/>
        </w:rPr>
        <w:t>，运用案卷研究、网络调查、电话沟通、专家咨询等多种方式，结合成本效益分析法、比较法、因素分析法</w:t>
      </w:r>
      <w:r>
        <w:rPr>
          <w:rFonts w:hint="eastAsia" w:ascii="仿宋_GB2312" w:eastAsia="仿宋_GB2312"/>
          <w:color w:val="000000"/>
          <w:sz w:val="32"/>
          <w:szCs w:val="32"/>
        </w:rPr>
        <w:t>、专家评判法等多种方法，对项目决策、过程、产出、效益四方面进行综合评价，</w:t>
      </w:r>
      <w:r>
        <w:rPr>
          <w:rFonts w:hint="eastAsia" w:ascii="仿宋_GB2312" w:eastAsia="仿宋_GB2312" w:cs="仿宋_GB2312"/>
          <w:sz w:val="32"/>
          <w:szCs w:val="32"/>
        </w:rPr>
        <w:t>并提出改进意见和建议，以促进工作的规范化以及财政资金使用效益的有效提高</w:t>
      </w:r>
      <w:r>
        <w:rPr>
          <w:rFonts w:hint="eastAsia" w:ascii="仿宋_GB2312" w:eastAsia="仿宋_GB2312"/>
          <w:color w:val="000000"/>
          <w:sz w:val="32"/>
          <w:szCs w:val="32"/>
        </w:rPr>
        <w:t>。</w:t>
      </w:r>
    </w:p>
    <w:p>
      <w:pPr>
        <w:tabs>
          <w:tab w:val="left" w:pos="4065"/>
        </w:tabs>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2.评价指标体系及评价标准</w:t>
      </w:r>
    </w:p>
    <w:p>
      <w:pPr>
        <w:adjustRightInd w:val="0"/>
        <w:snapToGrid w:val="0"/>
        <w:spacing w:line="560" w:lineRule="exact"/>
        <w:ind w:firstLine="640" w:firstLineChars="200"/>
        <w:rPr>
          <w:rFonts w:ascii="Times New Roman" w:hAnsi="Times New Roman" w:eastAsia="仿宋_GB2312"/>
          <w:bCs/>
          <w:caps/>
          <w:sz w:val="32"/>
          <w:szCs w:val="32"/>
        </w:rPr>
      </w:pPr>
      <w:r>
        <w:rPr>
          <w:rFonts w:hint="eastAsia" w:ascii="仿宋_GB2312" w:hAnsi="仿宋" w:eastAsia="仿宋_GB2312" w:cs="仿宋"/>
          <w:sz w:val="32"/>
          <w:szCs w:val="32"/>
        </w:rPr>
        <w:t>本次评价项目为政府购买服务项目，评价指标体系</w:t>
      </w:r>
      <w:r>
        <w:rPr>
          <w:rFonts w:hint="eastAsia" w:ascii="仿宋_GB2312" w:hAnsi="仿宋" w:eastAsia="仿宋_GB2312"/>
          <w:color w:val="000000"/>
          <w:sz w:val="32"/>
          <w:szCs w:val="32"/>
        </w:rPr>
        <w:t>根据</w:t>
      </w:r>
      <w:r>
        <w:rPr>
          <w:rFonts w:hint="eastAsia" w:ascii="仿宋_GB2312" w:hAnsi="仿宋_GB2312" w:eastAsia="仿宋_GB2312" w:cs="仿宋_GB2312"/>
          <w:snapToGrid w:val="0"/>
          <w:kern w:val="0"/>
          <w:sz w:val="32"/>
          <w:szCs w:val="32"/>
        </w:rPr>
        <w:t>《北京市市级政府购买服务预算绩效管理办法》（京财综〔2024〕2</w:t>
      </w:r>
      <w:r>
        <w:rPr>
          <w:rFonts w:ascii="仿宋_GB2312" w:hAnsi="仿宋_GB2312" w:eastAsia="仿宋_GB2312" w:cs="仿宋_GB2312"/>
          <w:snapToGrid w:val="0"/>
          <w:kern w:val="0"/>
          <w:sz w:val="32"/>
          <w:szCs w:val="32"/>
        </w:rPr>
        <w:t>1</w:t>
      </w:r>
      <w:r>
        <w:rPr>
          <w:rFonts w:hint="eastAsia" w:ascii="仿宋_GB2312" w:hAnsi="仿宋_GB2312" w:eastAsia="仿宋_GB2312" w:cs="仿宋_GB2312"/>
          <w:snapToGrid w:val="0"/>
          <w:kern w:val="0"/>
          <w:sz w:val="32"/>
          <w:szCs w:val="32"/>
        </w:rPr>
        <w:t>3号）</w:t>
      </w:r>
      <w:r>
        <w:rPr>
          <w:rFonts w:hint="eastAsia" w:ascii="仿宋_GB2312" w:hAnsi="仿宋" w:eastAsia="仿宋_GB2312"/>
          <w:color w:val="000000"/>
          <w:sz w:val="32"/>
          <w:szCs w:val="32"/>
        </w:rPr>
        <w:t>有关要求、结合项目特点设置，</w:t>
      </w:r>
      <w:r>
        <w:rPr>
          <w:rFonts w:hint="eastAsia" w:ascii="仿宋_GB2312" w:hAnsi="仿宋" w:eastAsia="仿宋_GB2312" w:cs="仿宋"/>
          <w:sz w:val="32"/>
          <w:szCs w:val="32"/>
        </w:rPr>
        <w:t>包括决策、过程、产出及效益4个一级指标，10个二级指标和15个三级指标，满分为100分。</w:t>
      </w:r>
      <w:r>
        <w:rPr>
          <w:rFonts w:hint="eastAsia" w:ascii="仿宋_GB2312" w:hAnsi="仿宋" w:eastAsia="仿宋_GB2312"/>
          <w:b/>
          <w:sz w:val="32"/>
          <w:szCs w:val="32"/>
        </w:rPr>
        <w:t>一是决策（20分）</w:t>
      </w:r>
      <w:r>
        <w:rPr>
          <w:rFonts w:hint="eastAsia" w:ascii="仿宋_GB2312" w:hAnsi="仿宋" w:eastAsia="仿宋_GB2312"/>
          <w:sz w:val="32"/>
          <w:szCs w:val="32"/>
        </w:rPr>
        <w:t>，主</w:t>
      </w:r>
      <w:r>
        <w:rPr>
          <w:rFonts w:hint="eastAsia" w:ascii="仿宋_GB2312" w:hAnsi="仿宋" w:eastAsia="仿宋_GB2312" w:cs="仿宋"/>
          <w:sz w:val="32"/>
          <w:szCs w:val="32"/>
        </w:rPr>
        <w:t>要评价项目立项、绩效目标和资金投入情况。</w:t>
      </w:r>
      <w:r>
        <w:rPr>
          <w:rFonts w:hint="eastAsia" w:ascii="仿宋_GB2312" w:hAnsi="仿宋" w:eastAsia="仿宋_GB2312"/>
          <w:b/>
          <w:bCs/>
          <w:sz w:val="32"/>
          <w:szCs w:val="32"/>
        </w:rPr>
        <w:t>二是过程（20分），</w:t>
      </w:r>
      <w:r>
        <w:rPr>
          <w:rFonts w:hint="eastAsia" w:ascii="仿宋_GB2312" w:hAnsi="仿宋" w:eastAsia="仿宋_GB2312"/>
          <w:sz w:val="32"/>
          <w:szCs w:val="32"/>
        </w:rPr>
        <w:t>主</w:t>
      </w:r>
      <w:r>
        <w:rPr>
          <w:rFonts w:hint="eastAsia" w:ascii="仿宋_GB2312" w:hAnsi="仿宋" w:eastAsia="仿宋_GB2312" w:cs="仿宋"/>
          <w:sz w:val="32"/>
          <w:szCs w:val="32"/>
        </w:rPr>
        <w:t>要评价资金管理和组织实施情况。</w:t>
      </w:r>
      <w:r>
        <w:rPr>
          <w:rFonts w:hint="eastAsia" w:ascii="仿宋_GB2312" w:hAnsi="仿宋" w:eastAsia="仿宋_GB2312"/>
          <w:b/>
          <w:bCs/>
          <w:sz w:val="32"/>
          <w:szCs w:val="32"/>
        </w:rPr>
        <w:t>三是产出（30分），</w:t>
      </w:r>
      <w:r>
        <w:rPr>
          <w:rFonts w:hint="eastAsia" w:ascii="仿宋_GB2312" w:hAnsi="仿宋" w:eastAsia="仿宋_GB2312" w:cs="仿宋"/>
          <w:sz w:val="32"/>
          <w:szCs w:val="32"/>
        </w:rPr>
        <w:t>主要评价财务规范性审核与辅导提升等产出数量、质量、时效完成情况和成本控制情况。</w:t>
      </w:r>
      <w:r>
        <w:rPr>
          <w:rFonts w:hint="eastAsia" w:ascii="仿宋_GB2312" w:hAnsi="仿宋" w:eastAsia="仿宋_GB2312"/>
          <w:b/>
          <w:bCs/>
          <w:sz w:val="32"/>
          <w:szCs w:val="32"/>
        </w:rPr>
        <w:t>四是效益（30分），</w:t>
      </w:r>
      <w:r>
        <w:rPr>
          <w:rFonts w:hint="eastAsia" w:ascii="仿宋_GB2312" w:hAnsi="仿宋" w:eastAsia="仿宋_GB2312" w:cs="仿宋"/>
          <w:sz w:val="32"/>
          <w:szCs w:val="32"/>
        </w:rPr>
        <w:t>主要评价项目实施后对促进财务管理水平提升等方面形成的效益和满意度情况。</w:t>
      </w:r>
    </w:p>
    <w:p>
      <w:pPr>
        <w:adjustRightInd w:val="0"/>
        <w:snapToGrid w:val="0"/>
        <w:spacing w:line="560" w:lineRule="exact"/>
        <w:ind w:firstLine="640" w:firstLineChars="200"/>
        <w:rPr>
          <w:rFonts w:ascii="仿宋_GB2312" w:hAnsi="仿宋" w:eastAsia="仿宋_GB2312"/>
          <w:sz w:val="32"/>
          <w:szCs w:val="32"/>
        </w:rPr>
      </w:pPr>
      <w:r>
        <w:rPr>
          <w:rFonts w:hint="eastAsia" w:ascii="仿宋_GB2312" w:hAnsi="仿宋" w:eastAsia="仿宋_GB2312"/>
          <w:sz w:val="32"/>
          <w:szCs w:val="32"/>
        </w:rPr>
        <w:t>本次绩效评价综合评定级别，分为4个等级：综合得分在90（含）-100分为优；综合得分在75（含）-90分为良；综合得分在60（含）-75分为中；综合得分在0-60分为差。</w:t>
      </w:r>
    </w:p>
    <w:bookmarkEnd w:id="14"/>
    <w:p>
      <w:pPr>
        <w:adjustRightInd w:val="0"/>
        <w:snapToGrid w:val="0"/>
        <w:spacing w:line="560" w:lineRule="exact"/>
        <w:ind w:firstLine="640" w:firstLineChars="200"/>
        <w:outlineLvl w:val="1"/>
        <w:rPr>
          <w:rFonts w:ascii="Times New Roman" w:hAnsi="Times New Roman" w:eastAsia="楷体"/>
          <w:caps/>
          <w:sz w:val="32"/>
          <w:szCs w:val="32"/>
        </w:rPr>
      </w:pPr>
      <w:bookmarkStart w:id="20" w:name="_Toc167139772"/>
      <w:r>
        <w:rPr>
          <w:rFonts w:hint="eastAsia" w:ascii="Times New Roman" w:hAnsi="Times New Roman" w:eastAsia="楷体"/>
          <w:caps/>
          <w:sz w:val="32"/>
          <w:szCs w:val="32"/>
        </w:rPr>
        <w:t>（三）绩效评价过程</w:t>
      </w:r>
      <w:bookmarkEnd w:id="20"/>
    </w:p>
    <w:p>
      <w:pPr>
        <w:tabs>
          <w:tab w:val="left" w:pos="4065"/>
        </w:tabs>
        <w:adjustRightInd w:val="0"/>
        <w:snapToGrid w:val="0"/>
        <w:spacing w:line="560" w:lineRule="exact"/>
        <w:ind w:firstLine="640" w:firstLineChars="200"/>
        <w:outlineLvl w:val="2"/>
        <w:rPr>
          <w:rFonts w:ascii="仿宋_GB2312" w:eastAsia="仿宋_GB2312"/>
          <w:sz w:val="32"/>
          <w:szCs w:val="32"/>
        </w:rPr>
      </w:pPr>
      <w:r>
        <w:rPr>
          <w:rFonts w:ascii="仿宋_GB2312" w:hAnsi="Times New Roman" w:eastAsia="仿宋_GB2312"/>
          <w:kern w:val="0"/>
          <w:sz w:val="32"/>
          <w:szCs w:val="32"/>
          <w:lang w:bidi="zh-CN"/>
        </w:rPr>
        <w:t>1.</w:t>
      </w:r>
      <w:r>
        <w:rPr>
          <w:rFonts w:hint="eastAsia" w:ascii="仿宋_GB2312" w:hAnsi="Times New Roman" w:eastAsia="仿宋_GB2312"/>
          <w:kern w:val="0"/>
          <w:sz w:val="32"/>
          <w:szCs w:val="32"/>
          <w:lang w:bidi="zh-CN"/>
        </w:rPr>
        <w:t>前期准备</w:t>
      </w:r>
    </w:p>
    <w:p>
      <w:pPr>
        <w:adjustRightInd w:val="0"/>
        <w:snapToGrid w:val="0"/>
        <w:spacing w:line="560" w:lineRule="exact"/>
        <w:ind w:firstLine="640" w:firstLineChars="200"/>
        <w:rPr>
          <w:rFonts w:ascii="仿宋_GB2312" w:hAnsi="Times New Roman" w:eastAsia="仿宋_GB2312"/>
          <w:kern w:val="0"/>
          <w:sz w:val="32"/>
          <w:szCs w:val="32"/>
          <w:lang w:bidi="zh-CN"/>
        </w:rPr>
      </w:pPr>
      <w:r>
        <w:rPr>
          <w:rFonts w:hint="eastAsia" w:ascii="仿宋_GB2312" w:hAnsi="Times New Roman" w:eastAsia="仿宋_GB2312"/>
          <w:kern w:val="0"/>
          <w:sz w:val="32"/>
          <w:szCs w:val="32"/>
          <w:lang w:bidi="zh-CN"/>
        </w:rPr>
        <w:t>组建评价工作组，制定工作方案与模板。根据委托方要求及项目主要内容特点，评价机构组建评价工作组，明确任务分工。通过与委托方沟通、网上查阅资料、咨询专家等，评价工作组在初步了解项目情况的基础上，制定科学合理的绩效评价工作方案，初步设计绩效评价指标体系，明确评价思路、评价重点、调研安排、工作流程等内容，并制定资料清单等模板。</w:t>
      </w:r>
    </w:p>
    <w:p>
      <w:pPr>
        <w:adjustRightInd w:val="0"/>
        <w:snapToGrid w:val="0"/>
        <w:spacing w:line="560" w:lineRule="exact"/>
        <w:ind w:firstLine="640" w:firstLineChars="200"/>
        <w:rPr>
          <w:rFonts w:ascii="仿宋_GB2312" w:hAnsi="Times New Roman" w:eastAsia="仿宋_GB2312"/>
          <w:kern w:val="0"/>
          <w:sz w:val="32"/>
          <w:szCs w:val="32"/>
          <w:lang w:bidi="zh-CN"/>
        </w:rPr>
      </w:pPr>
      <w:r>
        <w:rPr>
          <w:rFonts w:hint="eastAsia" w:ascii="仿宋_GB2312" w:hAnsi="Times New Roman" w:eastAsia="仿宋_GB2312"/>
          <w:kern w:val="0"/>
          <w:sz w:val="32"/>
          <w:szCs w:val="32"/>
          <w:lang w:bidi="zh-CN"/>
        </w:rPr>
        <w:t>开展培训启动会，收集项目资料。</w:t>
      </w:r>
      <w:r>
        <w:rPr>
          <w:rFonts w:ascii="仿宋_GB2312" w:hAnsi="Times New Roman" w:eastAsia="仿宋_GB2312"/>
          <w:kern w:val="0"/>
          <w:sz w:val="32"/>
          <w:szCs w:val="32"/>
          <w:lang w:bidi="zh-CN"/>
        </w:rPr>
        <w:t>202</w:t>
      </w:r>
      <w:r>
        <w:rPr>
          <w:rFonts w:hint="eastAsia" w:ascii="仿宋_GB2312" w:hAnsi="Times New Roman" w:eastAsia="仿宋_GB2312"/>
          <w:kern w:val="0"/>
          <w:sz w:val="32"/>
          <w:szCs w:val="32"/>
          <w:lang w:bidi="zh-CN"/>
        </w:rPr>
        <w:t>4年</w:t>
      </w:r>
      <w:r>
        <w:rPr>
          <w:rFonts w:ascii="仿宋_GB2312" w:hAnsi="Times New Roman" w:eastAsia="仿宋_GB2312"/>
          <w:kern w:val="0"/>
          <w:sz w:val="32"/>
          <w:szCs w:val="32"/>
          <w:lang w:bidi="zh-CN"/>
        </w:rPr>
        <w:t>4</w:t>
      </w:r>
      <w:r>
        <w:rPr>
          <w:rFonts w:hint="eastAsia" w:ascii="仿宋_GB2312" w:hAnsi="Times New Roman" w:eastAsia="仿宋_GB2312"/>
          <w:kern w:val="0"/>
          <w:sz w:val="32"/>
          <w:szCs w:val="32"/>
          <w:lang w:bidi="zh-CN"/>
        </w:rPr>
        <w:t>月</w:t>
      </w:r>
      <w:r>
        <w:rPr>
          <w:rFonts w:ascii="仿宋_GB2312" w:hAnsi="Times New Roman" w:eastAsia="仿宋_GB2312"/>
          <w:kern w:val="0"/>
          <w:sz w:val="32"/>
          <w:szCs w:val="32"/>
          <w:lang w:bidi="zh-CN"/>
        </w:rPr>
        <w:t>18</w:t>
      </w:r>
      <w:r>
        <w:rPr>
          <w:rFonts w:hint="eastAsia" w:ascii="仿宋_GB2312" w:hAnsi="Times New Roman" w:eastAsia="仿宋_GB2312"/>
          <w:kern w:val="0"/>
          <w:sz w:val="32"/>
          <w:szCs w:val="32"/>
          <w:lang w:bidi="zh-CN"/>
        </w:rPr>
        <w:t>日，评价工作组配合委托方组织开展绩效评价相关培训及对接，明确评价任务、时间安排及需项目单位配合的工作等事项，要求项目单位按时提交评价资料及绩效自评报告，并根据工作组的意见进一步补充、完善。</w:t>
      </w:r>
    </w:p>
    <w:p>
      <w:pPr>
        <w:tabs>
          <w:tab w:val="left" w:pos="4065"/>
        </w:tabs>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2</w:t>
      </w:r>
      <w:r>
        <w:rPr>
          <w:rFonts w:ascii="仿宋_GB2312" w:eastAsia="仿宋_GB2312"/>
          <w:sz w:val="32"/>
          <w:szCs w:val="32"/>
        </w:rPr>
        <w:t>.</w:t>
      </w:r>
      <w:r>
        <w:rPr>
          <w:rFonts w:hint="eastAsia" w:ascii="仿宋_GB2312" w:eastAsia="仿宋_GB2312"/>
          <w:sz w:val="32"/>
          <w:szCs w:val="32"/>
        </w:rPr>
        <w:t>组织实施</w:t>
      </w:r>
    </w:p>
    <w:p>
      <w:pPr>
        <w:adjustRightInd w:val="0"/>
        <w:snapToGrid w:val="0"/>
        <w:spacing w:line="560" w:lineRule="exact"/>
        <w:ind w:firstLine="640" w:firstLineChars="200"/>
        <w:rPr>
          <w:rFonts w:ascii="仿宋_GB2312" w:hAnsi="Times New Roman" w:eastAsia="仿宋_GB2312"/>
          <w:kern w:val="0"/>
          <w:sz w:val="32"/>
          <w:szCs w:val="32"/>
          <w:lang w:bidi="zh-CN"/>
        </w:rPr>
      </w:pPr>
      <w:r>
        <w:rPr>
          <w:rFonts w:hint="eastAsia" w:ascii="仿宋_GB2312" w:hAnsi="Times New Roman" w:eastAsia="仿宋_GB2312"/>
          <w:kern w:val="0"/>
          <w:sz w:val="32"/>
          <w:szCs w:val="32"/>
          <w:lang w:bidi="zh-CN"/>
        </w:rPr>
        <w:t>整理、分析资料。评价工作组对所收集资料进行整理、分析，就有关问题与项目单位核实，并进一步细化评价指标体系，形成项目中期情况说明及初步结论。</w:t>
      </w:r>
    </w:p>
    <w:p>
      <w:pPr>
        <w:adjustRightInd w:val="0"/>
        <w:snapToGrid w:val="0"/>
        <w:spacing w:line="560" w:lineRule="exact"/>
        <w:ind w:firstLine="640" w:firstLineChars="200"/>
        <w:rPr>
          <w:rFonts w:ascii="仿宋_GB2312" w:hAnsi="Times New Roman" w:eastAsia="仿宋_GB2312"/>
          <w:kern w:val="0"/>
          <w:sz w:val="32"/>
          <w:szCs w:val="32"/>
          <w:lang w:bidi="zh-CN"/>
        </w:rPr>
      </w:pPr>
      <w:r>
        <w:rPr>
          <w:rFonts w:hint="eastAsia" w:ascii="仿宋_GB2312" w:hAnsi="Times New Roman" w:eastAsia="仿宋_GB2312"/>
          <w:kern w:val="0"/>
          <w:sz w:val="32"/>
          <w:szCs w:val="32"/>
          <w:lang w:bidi="zh-CN"/>
        </w:rPr>
        <w:t>专家评价会。评价工作组就项目情况与专家进行充分沟通，于</w:t>
      </w:r>
      <w:r>
        <w:rPr>
          <w:rFonts w:ascii="仿宋_GB2312" w:hAnsi="Times New Roman" w:eastAsia="仿宋_GB2312"/>
          <w:kern w:val="0"/>
          <w:sz w:val="32"/>
          <w:szCs w:val="32"/>
          <w:lang w:bidi="zh-CN"/>
        </w:rPr>
        <w:t>5</w:t>
      </w:r>
      <w:r>
        <w:rPr>
          <w:rFonts w:hint="eastAsia" w:ascii="仿宋_GB2312" w:hAnsi="Times New Roman" w:eastAsia="仿宋_GB2312"/>
          <w:kern w:val="0"/>
          <w:sz w:val="32"/>
          <w:szCs w:val="32"/>
          <w:lang w:bidi="zh-CN"/>
        </w:rPr>
        <w:t>月13日召开专家评价会，专家针对项目执行情况进行质询，结合项目单位回应情况，专家进行打分、出具评价意见与结论。</w:t>
      </w:r>
    </w:p>
    <w:p>
      <w:pPr>
        <w:tabs>
          <w:tab w:val="left" w:pos="4065"/>
        </w:tabs>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3</w:t>
      </w:r>
      <w:r>
        <w:rPr>
          <w:rFonts w:ascii="仿宋_GB2312" w:eastAsia="仿宋_GB2312"/>
          <w:sz w:val="32"/>
          <w:szCs w:val="32"/>
        </w:rPr>
        <w:t>.</w:t>
      </w:r>
      <w:r>
        <w:rPr>
          <w:rFonts w:hint="eastAsia" w:ascii="仿宋_GB2312" w:eastAsia="仿宋_GB2312"/>
          <w:sz w:val="32"/>
          <w:szCs w:val="32"/>
        </w:rPr>
        <w:t>分析总结</w:t>
      </w:r>
    </w:p>
    <w:p>
      <w:pPr>
        <w:adjustRightInd w:val="0"/>
        <w:snapToGrid w:val="0"/>
        <w:spacing w:line="560" w:lineRule="exact"/>
        <w:ind w:firstLine="640" w:firstLineChars="200"/>
        <w:rPr>
          <w:rFonts w:ascii="仿宋_GB2312" w:hAnsi="Times New Roman" w:eastAsia="仿宋_GB2312"/>
          <w:kern w:val="0"/>
          <w:sz w:val="32"/>
          <w:szCs w:val="32"/>
          <w:lang w:bidi="zh-CN"/>
        </w:rPr>
      </w:pPr>
      <w:r>
        <w:rPr>
          <w:rFonts w:hint="eastAsia" w:ascii="仿宋_GB2312" w:hAnsi="Times New Roman" w:eastAsia="仿宋_GB2312"/>
          <w:kern w:val="0"/>
          <w:sz w:val="32"/>
          <w:szCs w:val="32"/>
          <w:lang w:bidi="zh-CN"/>
        </w:rPr>
        <w:t>评价工作组根据收集到的资料及专家评价意见，对项目决策、过程、产出和效益情况进行综合分析，形成评价结论，撰写评价报告。在经内部三级审核的基础上，评价机构提交绩效评价报告初稿并征求委托方、项目单位意见，根据反馈意见进行修改，形成正式绩效评价报告。</w:t>
      </w:r>
    </w:p>
    <w:bookmarkEnd w:id="12"/>
    <w:p>
      <w:pPr>
        <w:adjustRightInd w:val="0"/>
        <w:snapToGrid w:val="0"/>
        <w:spacing w:line="560" w:lineRule="exact"/>
        <w:ind w:firstLine="640" w:firstLineChars="200"/>
        <w:outlineLvl w:val="0"/>
        <w:rPr>
          <w:rFonts w:ascii="Times New Roman" w:hAnsi="Times New Roman" w:eastAsia="黑体"/>
          <w:bCs/>
          <w:caps/>
          <w:sz w:val="32"/>
          <w:szCs w:val="32"/>
        </w:rPr>
      </w:pPr>
      <w:bookmarkStart w:id="21" w:name="_Toc31959"/>
      <w:bookmarkStart w:id="22" w:name="_Toc167139773"/>
      <w:r>
        <w:rPr>
          <w:rFonts w:ascii="Times New Roman" w:hAnsi="Times New Roman" w:eastAsia="黑体"/>
          <w:bCs/>
          <w:caps/>
          <w:sz w:val="32"/>
          <w:szCs w:val="32"/>
        </w:rPr>
        <w:t>三、综合评价结论</w:t>
      </w:r>
      <w:bookmarkEnd w:id="21"/>
      <w:bookmarkEnd w:id="22"/>
    </w:p>
    <w:p>
      <w:pPr>
        <w:spacing w:line="560" w:lineRule="exact"/>
        <w:ind w:firstLine="640" w:firstLineChars="200"/>
        <w:rPr>
          <w:rFonts w:hint="eastAsia" w:ascii="仿宋_GB2312" w:hAnsi="Times New Roman" w:eastAsia="仿宋_GB2312"/>
          <w:sz w:val="32"/>
          <w:szCs w:val="32"/>
        </w:rPr>
      </w:pPr>
      <w:bookmarkStart w:id="23" w:name="_Hlk130128452"/>
      <w:r>
        <w:rPr>
          <w:rFonts w:hint="eastAsia" w:ascii="仿宋_GB2312" w:hAnsi="宋体" w:eastAsia="仿宋_GB2312" w:cs="宋体"/>
          <w:iCs/>
          <w:color w:val="000000"/>
          <w:kern w:val="0"/>
          <w:sz w:val="32"/>
          <w:szCs w:val="32"/>
        </w:rPr>
        <w:t>财务综合服务项目以</w:t>
      </w:r>
      <w:r>
        <w:rPr>
          <w:rFonts w:ascii="仿宋_GB2312" w:eastAsia="仿宋_GB2312"/>
          <w:sz w:val="32"/>
          <w:szCs w:val="32"/>
        </w:rPr>
        <w:t>全面健全财务监督服务体系</w:t>
      </w:r>
      <w:r>
        <w:rPr>
          <w:rFonts w:hint="eastAsia" w:ascii="仿宋_GB2312" w:eastAsia="仿宋_GB2312"/>
          <w:sz w:val="32"/>
          <w:szCs w:val="32"/>
        </w:rPr>
        <w:t>、</w:t>
      </w:r>
      <w:r>
        <w:rPr>
          <w:rFonts w:hint="eastAsia" w:ascii="仿宋_GB2312" w:hAnsi="宋体" w:eastAsia="仿宋_GB2312" w:cs="宋体"/>
          <w:iCs/>
          <w:color w:val="000000"/>
          <w:kern w:val="0"/>
          <w:sz w:val="32"/>
          <w:szCs w:val="32"/>
        </w:rPr>
        <w:t>持续提升财务管理水平为目标，由市政务服务局财务处通过政府采购竞争性磋商及内部采购单一来源采购等方式确定财务会计业务规范提升服务、内部审计服务、内部控制管理服务、预算评审、预算绩效管理及财务软件信息管理系统运维服务等6项工作的具体承担单位。</w:t>
      </w:r>
      <w:r>
        <w:rPr>
          <w:rFonts w:ascii="仿宋_GB2312" w:hAnsi="宋体" w:eastAsia="仿宋_GB2312" w:cs="宋体"/>
          <w:iCs/>
          <w:color w:val="000000"/>
          <w:kern w:val="0"/>
          <w:sz w:val="32"/>
          <w:szCs w:val="32"/>
        </w:rPr>
        <w:t>截至2023年12月底，项目年度内</w:t>
      </w:r>
      <w:r>
        <w:rPr>
          <w:rFonts w:hint="eastAsia" w:ascii="仿宋_GB2312" w:hAnsi="宋体" w:eastAsia="仿宋_GB2312" w:cs="宋体"/>
          <w:iCs/>
          <w:color w:val="000000"/>
          <w:kern w:val="0"/>
          <w:sz w:val="32"/>
          <w:szCs w:val="32"/>
        </w:rPr>
        <w:t>计划</w:t>
      </w:r>
      <w:r>
        <w:rPr>
          <w:rFonts w:ascii="仿宋_GB2312" w:hAnsi="宋体" w:eastAsia="仿宋_GB2312" w:cs="宋体"/>
          <w:iCs/>
          <w:color w:val="000000"/>
          <w:kern w:val="0"/>
          <w:sz w:val="32"/>
          <w:szCs w:val="32"/>
        </w:rPr>
        <w:t>开展内容均已完成</w:t>
      </w:r>
      <w:r>
        <w:rPr>
          <w:rFonts w:hint="eastAsia" w:ascii="仿宋_GB2312" w:hAnsi="宋体" w:eastAsia="仿宋_GB2312" w:cs="宋体"/>
          <w:iCs/>
          <w:color w:val="000000"/>
          <w:kern w:val="0"/>
          <w:sz w:val="32"/>
          <w:szCs w:val="32"/>
        </w:rPr>
        <w:t>，</w:t>
      </w:r>
      <w:r>
        <w:rPr>
          <w:rFonts w:hint="eastAsia" w:ascii="仿宋_GB2312" w:eastAsia="仿宋_GB2312"/>
          <w:iCs/>
          <w:sz w:val="32"/>
          <w:szCs w:val="32"/>
        </w:rPr>
        <w:t>在提高资源配置效率，促进各项财务支出合规，会计核算过程规范，保障资金使用安全，提升预算绩效管理一体化水平，为政务服务保驾护航等方面取得了较好的效果</w:t>
      </w:r>
      <w:r>
        <w:rPr>
          <w:rFonts w:hint="eastAsia" w:ascii="仿宋_GB2312" w:hAnsi="宋体" w:eastAsia="仿宋_GB2312" w:cs="宋体"/>
          <w:iCs/>
          <w:color w:val="000000"/>
          <w:kern w:val="0"/>
          <w:sz w:val="32"/>
          <w:szCs w:val="32"/>
        </w:rPr>
        <w:t>。</w:t>
      </w:r>
      <w:r>
        <w:rPr>
          <w:rFonts w:hint="eastAsia" w:ascii="仿宋_GB2312" w:eastAsia="仿宋_GB2312"/>
          <w:iCs/>
          <w:sz w:val="32"/>
          <w:szCs w:val="32"/>
        </w:rPr>
        <w:t>但该项目存在</w:t>
      </w:r>
      <w:r>
        <w:rPr>
          <w:rFonts w:hint="eastAsia" w:ascii="仿宋_GB2312" w:hAnsi="宋体" w:eastAsia="仿宋_GB2312" w:cs="宋体"/>
          <w:iCs/>
          <w:color w:val="000000"/>
          <w:kern w:val="0"/>
          <w:sz w:val="32"/>
          <w:szCs w:val="32"/>
        </w:rPr>
        <w:t>“</w:t>
      </w:r>
      <w:r>
        <w:rPr>
          <w:rFonts w:hint="eastAsia" w:ascii="仿宋_GB2312" w:hAnsi="宋体" w:eastAsia="仿宋_GB2312" w:cs="宋体"/>
          <w:bCs w:val="0"/>
          <w:iCs/>
          <w:caps w:val="0"/>
          <w:color w:val="000000"/>
          <w:kern w:val="0"/>
          <w:sz w:val="32"/>
          <w:szCs w:val="32"/>
        </w:rPr>
        <w:t>作为延续性项目，项目管理过程中缺乏对管理经验的提炼与归纳，项目验收成果材料可进一步完善</w:t>
      </w:r>
      <w:r>
        <w:rPr>
          <w:rFonts w:hint="eastAsia" w:ascii="仿宋_GB2312" w:hAnsi="宋体" w:eastAsia="仿宋_GB2312" w:cs="宋体"/>
          <w:iCs/>
          <w:color w:val="000000"/>
          <w:kern w:val="0"/>
          <w:sz w:val="32"/>
          <w:szCs w:val="32"/>
          <w:lang w:eastAsia="zh-CN"/>
        </w:rPr>
        <w:t>，</w:t>
      </w:r>
      <w:r>
        <w:rPr>
          <w:rFonts w:hint="eastAsia" w:ascii="仿宋_GB2312" w:hAnsi="等线" w:eastAsia="仿宋_GB2312"/>
          <w:bCs w:val="0"/>
          <w:iCs/>
          <w:caps w:val="0"/>
          <w:sz w:val="32"/>
          <w:szCs w:val="32"/>
        </w:rPr>
        <w:t>项目效益数据的提炼归集</w:t>
      </w:r>
      <w:r>
        <w:rPr>
          <w:rFonts w:hint="eastAsia" w:ascii="仿宋_GB2312" w:hAnsi="等线" w:eastAsia="仿宋_GB2312"/>
          <w:bCs w:val="0"/>
          <w:iCs/>
          <w:caps w:val="0"/>
          <w:sz w:val="32"/>
          <w:szCs w:val="32"/>
          <w:highlight w:val="none"/>
        </w:rPr>
        <w:t>工作有待进一步加强</w:t>
      </w:r>
      <w:r>
        <w:rPr>
          <w:rFonts w:hint="eastAsia" w:ascii="仿宋_GB2312" w:eastAsia="仿宋_GB2312"/>
          <w:iCs/>
          <w:sz w:val="32"/>
          <w:szCs w:val="32"/>
        </w:rPr>
        <w:t>”等问题。</w:t>
      </w:r>
      <w:r>
        <w:rPr>
          <w:rFonts w:hint="eastAsia" w:ascii="仿宋_GB2312" w:hAnsi="等线" w:eastAsia="仿宋_GB2312"/>
          <w:iCs/>
          <w:sz w:val="32"/>
          <w:szCs w:val="32"/>
        </w:rPr>
        <w:t>项目</w:t>
      </w:r>
      <w:r>
        <w:rPr>
          <w:rFonts w:ascii="仿宋_GB2312" w:hAnsi="宋体" w:eastAsia="仿宋_GB2312" w:cs="宋体"/>
          <w:iCs/>
          <w:color w:val="000000"/>
          <w:kern w:val="0"/>
          <w:sz w:val="32"/>
          <w:szCs w:val="32"/>
        </w:rPr>
        <w:t>综合评价</w:t>
      </w:r>
      <w:r>
        <w:rPr>
          <w:rFonts w:ascii="仿宋_GB2312" w:hAnsi="Times New Roman" w:eastAsia="仿宋_GB2312"/>
          <w:sz w:val="32"/>
          <w:szCs w:val="32"/>
        </w:rPr>
        <w:t>得分9</w:t>
      </w:r>
      <w:r>
        <w:rPr>
          <w:rFonts w:hint="eastAsia" w:ascii="仿宋_GB2312" w:hAnsi="Times New Roman" w:eastAsia="仿宋_GB2312"/>
          <w:sz w:val="32"/>
          <w:szCs w:val="32"/>
        </w:rPr>
        <w:t>3</w:t>
      </w:r>
      <w:r>
        <w:rPr>
          <w:rFonts w:ascii="仿宋_GB2312" w:hAnsi="Times New Roman" w:eastAsia="仿宋_GB2312"/>
          <w:sz w:val="32"/>
          <w:szCs w:val="32"/>
        </w:rPr>
        <w:t>.</w:t>
      </w:r>
      <w:r>
        <w:rPr>
          <w:rFonts w:hint="eastAsia" w:ascii="仿宋_GB2312" w:hAnsi="Times New Roman" w:eastAsia="仿宋_GB2312"/>
          <w:sz w:val="32"/>
          <w:szCs w:val="32"/>
        </w:rPr>
        <w:t>90</w:t>
      </w:r>
      <w:r>
        <w:rPr>
          <w:rFonts w:ascii="仿宋_GB2312" w:hAnsi="Times New Roman" w:eastAsia="仿宋_GB2312"/>
          <w:sz w:val="32"/>
          <w:szCs w:val="32"/>
        </w:rPr>
        <w:t>分，评价等级为</w:t>
      </w:r>
      <w:r>
        <w:rPr>
          <w:rFonts w:hint="eastAsia" w:ascii="仿宋_GB2312" w:hAnsi="Times New Roman" w:eastAsia="仿宋_GB2312"/>
          <w:sz w:val="32"/>
          <w:szCs w:val="32"/>
        </w:rPr>
        <w:t>“优”，</w:t>
      </w:r>
      <w:r>
        <w:rPr>
          <w:rFonts w:ascii="仿宋_GB2312" w:hAnsi="Times New Roman" w:eastAsia="仿宋_GB2312"/>
          <w:sz w:val="32"/>
          <w:szCs w:val="32"/>
        </w:rPr>
        <w:t>具体得分情况见表4</w:t>
      </w:r>
      <w:r>
        <w:rPr>
          <w:rFonts w:hint="eastAsia" w:ascii="仿宋_GB2312" w:hAnsi="Times New Roman" w:eastAsia="仿宋_GB2312"/>
          <w:sz w:val="32"/>
          <w:szCs w:val="32"/>
        </w:rPr>
        <w:t>。</w:t>
      </w:r>
    </w:p>
    <w:p>
      <w:pPr>
        <w:spacing w:line="560" w:lineRule="exact"/>
        <w:ind w:firstLine="640" w:firstLineChars="200"/>
        <w:rPr>
          <w:rFonts w:hint="eastAsia" w:ascii="仿宋_GB2312" w:hAnsi="Times New Roman" w:eastAsia="仿宋_GB2312"/>
          <w:sz w:val="32"/>
          <w:szCs w:val="32"/>
        </w:rPr>
      </w:pPr>
    </w:p>
    <w:p>
      <w:pPr>
        <w:spacing w:line="560" w:lineRule="exact"/>
        <w:ind w:firstLine="640" w:firstLineChars="200"/>
        <w:rPr>
          <w:rFonts w:hint="eastAsia" w:ascii="仿宋_GB2312" w:hAnsi="宋体" w:eastAsia="仿宋_GB2312" w:cs="宋体"/>
          <w:iCs/>
          <w:color w:val="000000"/>
          <w:kern w:val="0"/>
          <w:sz w:val="32"/>
          <w:szCs w:val="32"/>
        </w:rPr>
      </w:pPr>
    </w:p>
    <w:p>
      <w:pPr>
        <w:snapToGrid w:val="0"/>
        <w:spacing w:line="560" w:lineRule="exact"/>
        <w:jc w:val="center"/>
        <w:rPr>
          <w:rFonts w:ascii="黑体" w:hAnsi="黑体" w:eastAsia="黑体"/>
          <w:sz w:val="24"/>
          <w:szCs w:val="32"/>
        </w:rPr>
      </w:pPr>
      <w:r>
        <w:rPr>
          <w:rFonts w:hint="eastAsia" w:ascii="黑体" w:hAnsi="黑体" w:eastAsia="黑体"/>
          <w:sz w:val="28"/>
          <w:szCs w:val="28"/>
        </w:rPr>
        <w:t>表</w:t>
      </w:r>
      <w:r>
        <w:rPr>
          <w:rFonts w:ascii="黑体" w:hAnsi="黑体" w:eastAsia="黑体"/>
          <w:sz w:val="28"/>
          <w:szCs w:val="28"/>
        </w:rPr>
        <w:t>4</w:t>
      </w:r>
      <w:r>
        <w:rPr>
          <w:rFonts w:hint="eastAsia" w:ascii="黑体" w:hAnsi="黑体" w:eastAsia="黑体"/>
          <w:sz w:val="28"/>
          <w:szCs w:val="28"/>
        </w:rPr>
        <w:t>：综合评价得分情况表</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2034"/>
        <w:gridCol w:w="2093"/>
        <w:gridCol w:w="2034"/>
        <w:gridCol w:w="22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7" w:hRule="atLeast"/>
          <w:tblHeader/>
          <w:jc w:val="center"/>
        </w:trPr>
        <w:tc>
          <w:tcPr>
            <w:tcW w:w="1216" w:type="pct"/>
            <w:vAlign w:val="center"/>
          </w:tcPr>
          <w:p>
            <w:pPr>
              <w:widowControl/>
              <w:adjustRightInd w:val="0"/>
              <w:snapToGrid w:val="0"/>
              <w:jc w:val="center"/>
              <w:rPr>
                <w:rFonts w:ascii="宋体" w:hAnsi="宋体" w:eastAsia="宋体" w:cs="宋体"/>
                <w:b/>
                <w:bCs/>
                <w:kern w:val="0"/>
                <w:sz w:val="20"/>
                <w:szCs w:val="20"/>
              </w:rPr>
            </w:pPr>
            <w:r>
              <w:rPr>
                <w:rFonts w:hint="eastAsia" w:ascii="宋体" w:hAnsi="宋体" w:eastAsia="宋体" w:cs="宋体"/>
                <w:b/>
                <w:bCs/>
                <w:kern w:val="0"/>
                <w:sz w:val="20"/>
                <w:szCs w:val="20"/>
              </w:rPr>
              <w:t>一级指标</w:t>
            </w:r>
          </w:p>
        </w:tc>
        <w:tc>
          <w:tcPr>
            <w:tcW w:w="1251" w:type="pct"/>
            <w:vAlign w:val="center"/>
          </w:tcPr>
          <w:p>
            <w:pPr>
              <w:widowControl/>
              <w:adjustRightInd w:val="0"/>
              <w:snapToGrid w:val="0"/>
              <w:jc w:val="center"/>
              <w:rPr>
                <w:rFonts w:ascii="宋体" w:hAnsi="宋体" w:eastAsia="宋体" w:cs="宋体"/>
                <w:b/>
                <w:bCs/>
                <w:kern w:val="0"/>
                <w:sz w:val="20"/>
                <w:szCs w:val="20"/>
              </w:rPr>
            </w:pPr>
            <w:r>
              <w:rPr>
                <w:rFonts w:hint="eastAsia" w:ascii="宋体" w:hAnsi="宋体" w:eastAsia="宋体" w:cs="宋体"/>
                <w:b/>
                <w:bCs/>
                <w:kern w:val="0"/>
                <w:sz w:val="20"/>
                <w:szCs w:val="20"/>
              </w:rPr>
              <w:t>分值</w:t>
            </w:r>
          </w:p>
        </w:tc>
        <w:tc>
          <w:tcPr>
            <w:tcW w:w="1216" w:type="pct"/>
            <w:vAlign w:val="center"/>
          </w:tcPr>
          <w:p>
            <w:pPr>
              <w:widowControl/>
              <w:adjustRightInd w:val="0"/>
              <w:snapToGrid w:val="0"/>
              <w:jc w:val="center"/>
              <w:rPr>
                <w:rFonts w:ascii="宋体" w:hAnsi="宋体" w:eastAsia="宋体" w:cs="宋体"/>
                <w:b/>
                <w:bCs/>
                <w:kern w:val="0"/>
                <w:sz w:val="20"/>
                <w:szCs w:val="20"/>
              </w:rPr>
            </w:pPr>
            <w:r>
              <w:rPr>
                <w:rFonts w:hint="eastAsia" w:ascii="宋体" w:hAnsi="宋体" w:eastAsia="宋体" w:cs="宋体"/>
                <w:b/>
                <w:bCs/>
                <w:kern w:val="0"/>
                <w:sz w:val="20"/>
                <w:szCs w:val="20"/>
              </w:rPr>
              <w:t>得分</w:t>
            </w:r>
          </w:p>
        </w:tc>
        <w:tc>
          <w:tcPr>
            <w:tcW w:w="1316" w:type="pct"/>
            <w:vAlign w:val="center"/>
          </w:tcPr>
          <w:p>
            <w:pPr>
              <w:widowControl/>
              <w:adjustRightInd w:val="0"/>
              <w:snapToGrid w:val="0"/>
              <w:jc w:val="center"/>
              <w:rPr>
                <w:rFonts w:ascii="宋体" w:hAnsi="宋体" w:eastAsia="宋体" w:cs="宋体"/>
                <w:b/>
                <w:bCs/>
                <w:kern w:val="0"/>
                <w:sz w:val="20"/>
                <w:szCs w:val="20"/>
              </w:rPr>
            </w:pPr>
            <w:r>
              <w:rPr>
                <w:rFonts w:hint="eastAsia" w:ascii="宋体" w:hAnsi="宋体" w:eastAsia="宋体" w:cs="宋体"/>
                <w:b/>
                <w:bCs/>
                <w:kern w:val="0"/>
                <w:sz w:val="20"/>
                <w:szCs w:val="20"/>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7" w:hRule="atLeast"/>
          <w:jc w:val="center"/>
        </w:trPr>
        <w:tc>
          <w:tcPr>
            <w:tcW w:w="12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决策</w:t>
            </w:r>
          </w:p>
        </w:tc>
        <w:tc>
          <w:tcPr>
            <w:tcW w:w="1251"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20</w:t>
            </w:r>
          </w:p>
        </w:tc>
        <w:tc>
          <w:tcPr>
            <w:tcW w:w="12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18.40</w:t>
            </w:r>
          </w:p>
        </w:tc>
        <w:tc>
          <w:tcPr>
            <w:tcW w:w="13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92.00</w:t>
            </w:r>
            <w:r>
              <w:rPr>
                <w:rFonts w:ascii="宋体" w:hAnsi="宋体" w:eastAsia="宋体" w:cs="宋体"/>
                <w:kern w:val="0"/>
                <w:sz w:val="20"/>
                <w:szCs w:val="2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7" w:hRule="atLeast"/>
          <w:jc w:val="center"/>
        </w:trPr>
        <w:tc>
          <w:tcPr>
            <w:tcW w:w="12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过程</w:t>
            </w:r>
          </w:p>
        </w:tc>
        <w:tc>
          <w:tcPr>
            <w:tcW w:w="1251"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20</w:t>
            </w:r>
          </w:p>
        </w:tc>
        <w:tc>
          <w:tcPr>
            <w:tcW w:w="12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18.00</w:t>
            </w:r>
          </w:p>
        </w:tc>
        <w:tc>
          <w:tcPr>
            <w:tcW w:w="13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90</w:t>
            </w:r>
            <w:r>
              <w:rPr>
                <w:rFonts w:ascii="宋体" w:hAnsi="宋体" w:eastAsia="宋体" w:cs="宋体"/>
                <w:kern w:val="0"/>
                <w:sz w:val="20"/>
                <w:szCs w:val="20"/>
              </w:rPr>
              <w:t>.</w:t>
            </w:r>
            <w:r>
              <w:rPr>
                <w:rFonts w:hint="eastAsia" w:ascii="宋体" w:hAnsi="宋体" w:eastAsia="宋体" w:cs="宋体"/>
                <w:kern w:val="0"/>
                <w:sz w:val="20"/>
                <w:szCs w:val="20"/>
              </w:rPr>
              <w:t>0</w:t>
            </w:r>
            <w:r>
              <w:rPr>
                <w:rFonts w:ascii="宋体" w:hAnsi="宋体" w:eastAsia="宋体" w:cs="宋体"/>
                <w:kern w:val="0"/>
                <w:sz w:val="20"/>
                <w:szCs w:val="2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7" w:hRule="atLeast"/>
          <w:jc w:val="center"/>
        </w:trPr>
        <w:tc>
          <w:tcPr>
            <w:tcW w:w="12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产出</w:t>
            </w:r>
          </w:p>
        </w:tc>
        <w:tc>
          <w:tcPr>
            <w:tcW w:w="1251"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30</w:t>
            </w:r>
          </w:p>
        </w:tc>
        <w:tc>
          <w:tcPr>
            <w:tcW w:w="1216" w:type="pct"/>
            <w:vAlign w:val="center"/>
          </w:tcPr>
          <w:p>
            <w:pPr>
              <w:widowControl/>
              <w:adjustRightInd w:val="0"/>
              <w:snapToGrid w:val="0"/>
              <w:jc w:val="center"/>
              <w:rPr>
                <w:rFonts w:hint="eastAsia" w:ascii="宋体" w:hAnsi="宋体" w:eastAsia="宋体" w:cs="宋体"/>
                <w:kern w:val="0"/>
                <w:sz w:val="20"/>
                <w:szCs w:val="20"/>
              </w:rPr>
            </w:pPr>
            <w:r>
              <w:rPr>
                <w:rFonts w:hint="eastAsia" w:ascii="宋体" w:hAnsi="宋体" w:eastAsia="宋体" w:cs="宋体"/>
                <w:kern w:val="0"/>
                <w:sz w:val="20"/>
                <w:szCs w:val="20"/>
              </w:rPr>
              <w:t>30.00</w:t>
            </w:r>
          </w:p>
        </w:tc>
        <w:tc>
          <w:tcPr>
            <w:tcW w:w="13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100.00</w:t>
            </w:r>
            <w:r>
              <w:rPr>
                <w:rFonts w:ascii="宋体" w:hAnsi="宋体" w:eastAsia="宋体" w:cs="宋体"/>
                <w:kern w:val="0"/>
                <w:sz w:val="20"/>
                <w:szCs w:val="2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7" w:hRule="atLeast"/>
          <w:jc w:val="center"/>
        </w:trPr>
        <w:tc>
          <w:tcPr>
            <w:tcW w:w="12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效益</w:t>
            </w:r>
          </w:p>
        </w:tc>
        <w:tc>
          <w:tcPr>
            <w:tcW w:w="1251"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30</w:t>
            </w:r>
          </w:p>
        </w:tc>
        <w:tc>
          <w:tcPr>
            <w:tcW w:w="1216" w:type="pct"/>
            <w:vAlign w:val="center"/>
          </w:tcPr>
          <w:p>
            <w:pPr>
              <w:widowControl/>
              <w:adjustRightInd w:val="0"/>
              <w:snapToGrid w:val="0"/>
              <w:jc w:val="center"/>
              <w:rPr>
                <w:rFonts w:hint="eastAsia" w:ascii="宋体" w:hAnsi="宋体" w:eastAsia="宋体" w:cs="宋体"/>
                <w:kern w:val="0"/>
                <w:sz w:val="20"/>
                <w:szCs w:val="20"/>
              </w:rPr>
            </w:pPr>
            <w:r>
              <w:rPr>
                <w:rFonts w:hint="eastAsia" w:ascii="宋体" w:hAnsi="宋体" w:eastAsia="宋体" w:cs="宋体"/>
                <w:kern w:val="0"/>
                <w:sz w:val="20"/>
                <w:szCs w:val="20"/>
              </w:rPr>
              <w:t>27.50</w:t>
            </w:r>
          </w:p>
        </w:tc>
        <w:tc>
          <w:tcPr>
            <w:tcW w:w="1316" w:type="pct"/>
            <w:vAlign w:val="center"/>
          </w:tcPr>
          <w:p>
            <w:pPr>
              <w:widowControl/>
              <w:adjustRightInd w:val="0"/>
              <w:snapToGrid w:val="0"/>
              <w:jc w:val="center"/>
              <w:rPr>
                <w:rFonts w:ascii="宋体" w:hAnsi="宋体" w:eastAsia="宋体" w:cs="宋体"/>
                <w:kern w:val="0"/>
                <w:sz w:val="20"/>
                <w:szCs w:val="20"/>
              </w:rPr>
            </w:pPr>
            <w:r>
              <w:rPr>
                <w:rFonts w:hint="eastAsia" w:ascii="宋体" w:hAnsi="宋体" w:eastAsia="宋体" w:cs="宋体"/>
                <w:kern w:val="0"/>
                <w:sz w:val="20"/>
                <w:szCs w:val="20"/>
              </w:rPr>
              <w:t>91.67</w:t>
            </w:r>
            <w:r>
              <w:rPr>
                <w:rFonts w:ascii="宋体" w:hAnsi="宋体" w:eastAsia="宋体" w:cs="宋体"/>
                <w:kern w:val="0"/>
                <w:sz w:val="20"/>
                <w:szCs w:val="2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7" w:hRule="atLeast"/>
          <w:jc w:val="center"/>
        </w:trPr>
        <w:tc>
          <w:tcPr>
            <w:tcW w:w="1216" w:type="pct"/>
            <w:vAlign w:val="center"/>
          </w:tcPr>
          <w:p>
            <w:pPr>
              <w:widowControl/>
              <w:adjustRightInd w:val="0"/>
              <w:snapToGrid w:val="0"/>
              <w:jc w:val="center"/>
              <w:rPr>
                <w:rFonts w:ascii="宋体" w:hAnsi="宋体" w:eastAsia="宋体" w:cs="宋体"/>
                <w:b/>
                <w:bCs/>
                <w:kern w:val="0"/>
                <w:sz w:val="20"/>
                <w:szCs w:val="20"/>
              </w:rPr>
            </w:pPr>
            <w:r>
              <w:rPr>
                <w:rFonts w:hint="eastAsia" w:ascii="宋体" w:hAnsi="宋体" w:eastAsia="宋体" w:cs="宋体"/>
                <w:b/>
                <w:bCs/>
                <w:kern w:val="0"/>
                <w:sz w:val="20"/>
                <w:szCs w:val="20"/>
              </w:rPr>
              <w:t>合　计</w:t>
            </w:r>
          </w:p>
        </w:tc>
        <w:tc>
          <w:tcPr>
            <w:tcW w:w="1251" w:type="pct"/>
            <w:vAlign w:val="center"/>
          </w:tcPr>
          <w:p>
            <w:pPr>
              <w:widowControl/>
              <w:adjustRightInd w:val="0"/>
              <w:snapToGrid w:val="0"/>
              <w:jc w:val="center"/>
              <w:rPr>
                <w:rFonts w:ascii="宋体" w:hAnsi="宋体" w:eastAsia="宋体" w:cs="宋体"/>
                <w:b/>
                <w:bCs/>
                <w:kern w:val="0"/>
                <w:sz w:val="20"/>
                <w:szCs w:val="20"/>
              </w:rPr>
            </w:pPr>
            <w:r>
              <w:rPr>
                <w:rFonts w:ascii="宋体" w:hAnsi="宋体" w:eastAsia="宋体" w:cs="宋体"/>
                <w:b/>
                <w:bCs/>
                <w:kern w:val="0"/>
                <w:sz w:val="20"/>
                <w:szCs w:val="20"/>
              </w:rPr>
              <w:t>100</w:t>
            </w:r>
          </w:p>
        </w:tc>
        <w:tc>
          <w:tcPr>
            <w:tcW w:w="1216" w:type="pct"/>
            <w:vAlign w:val="center"/>
          </w:tcPr>
          <w:p>
            <w:pPr>
              <w:widowControl/>
              <w:adjustRightInd w:val="0"/>
              <w:snapToGrid w:val="0"/>
              <w:jc w:val="center"/>
              <w:rPr>
                <w:rFonts w:hint="eastAsia" w:ascii="宋体" w:hAnsi="宋体" w:eastAsia="宋体" w:cs="宋体"/>
                <w:b/>
                <w:bCs/>
                <w:kern w:val="0"/>
                <w:sz w:val="20"/>
                <w:szCs w:val="20"/>
              </w:rPr>
            </w:pPr>
            <w:r>
              <w:rPr>
                <w:rFonts w:hint="eastAsia" w:ascii="宋体" w:hAnsi="宋体" w:eastAsia="宋体" w:cs="宋体"/>
                <w:b/>
                <w:bCs/>
                <w:kern w:val="0"/>
                <w:sz w:val="20"/>
                <w:szCs w:val="20"/>
              </w:rPr>
              <w:t>93.90</w:t>
            </w:r>
          </w:p>
        </w:tc>
        <w:tc>
          <w:tcPr>
            <w:tcW w:w="1316" w:type="pct"/>
            <w:vAlign w:val="center"/>
          </w:tcPr>
          <w:p>
            <w:pPr>
              <w:widowControl/>
              <w:adjustRightInd w:val="0"/>
              <w:snapToGrid w:val="0"/>
              <w:jc w:val="center"/>
              <w:rPr>
                <w:rFonts w:ascii="宋体" w:hAnsi="宋体" w:eastAsia="宋体" w:cs="宋体"/>
                <w:b/>
                <w:bCs/>
                <w:kern w:val="0"/>
                <w:sz w:val="20"/>
                <w:szCs w:val="20"/>
              </w:rPr>
            </w:pPr>
            <w:r>
              <w:rPr>
                <w:rFonts w:hint="eastAsia" w:ascii="宋体" w:hAnsi="宋体" w:eastAsia="宋体" w:cs="宋体"/>
                <w:b/>
                <w:bCs/>
                <w:kern w:val="0"/>
                <w:sz w:val="20"/>
                <w:szCs w:val="20"/>
              </w:rPr>
              <w:t>93.90</w:t>
            </w:r>
            <w:r>
              <w:rPr>
                <w:rFonts w:ascii="宋体" w:hAnsi="宋体" w:eastAsia="宋体" w:cs="宋体"/>
                <w:b/>
                <w:bCs/>
                <w:kern w:val="0"/>
                <w:sz w:val="20"/>
                <w:szCs w:val="20"/>
              </w:rPr>
              <w:t>%</w:t>
            </w:r>
          </w:p>
        </w:tc>
      </w:tr>
      <w:bookmarkEnd w:id="23"/>
    </w:tbl>
    <w:p>
      <w:pPr>
        <w:rPr>
          <w:rFonts w:ascii="宋体" w:hAnsi="宋体" w:eastAsia="宋体"/>
          <w:sz w:val="20"/>
          <w:szCs w:val="20"/>
        </w:rPr>
      </w:pPr>
    </w:p>
    <w:p>
      <w:pPr>
        <w:adjustRightInd w:val="0"/>
        <w:snapToGrid w:val="0"/>
        <w:spacing w:line="560" w:lineRule="exact"/>
        <w:ind w:firstLine="640" w:firstLineChars="200"/>
        <w:outlineLvl w:val="0"/>
        <w:rPr>
          <w:rFonts w:ascii="黑体" w:eastAsia="黑体"/>
          <w:sz w:val="32"/>
          <w:szCs w:val="32"/>
        </w:rPr>
      </w:pPr>
      <w:bookmarkStart w:id="24" w:name="_Toc35588777"/>
      <w:bookmarkStart w:id="25" w:name="_Toc167139774"/>
      <w:bookmarkStart w:id="26" w:name="_Toc35588409"/>
      <w:bookmarkStart w:id="27" w:name="_Toc10554"/>
      <w:r>
        <w:rPr>
          <w:rFonts w:hint="eastAsia" w:ascii="黑体" w:eastAsia="黑体"/>
          <w:sz w:val="32"/>
          <w:szCs w:val="32"/>
        </w:rPr>
        <w:t>四、绩效评价指标分析</w:t>
      </w:r>
      <w:bookmarkEnd w:id="24"/>
      <w:bookmarkEnd w:id="25"/>
      <w:bookmarkEnd w:id="26"/>
    </w:p>
    <w:p>
      <w:pPr>
        <w:adjustRightInd w:val="0"/>
        <w:snapToGrid w:val="0"/>
        <w:spacing w:line="560" w:lineRule="exact"/>
        <w:ind w:firstLine="640" w:firstLineChars="200"/>
        <w:outlineLvl w:val="1"/>
        <w:rPr>
          <w:rFonts w:ascii="楷体_GB2312" w:eastAsia="楷体_GB2312"/>
          <w:sz w:val="32"/>
          <w:szCs w:val="32"/>
        </w:rPr>
      </w:pPr>
      <w:bookmarkStart w:id="28" w:name="_Toc167139775"/>
      <w:bookmarkStart w:id="29" w:name="_Toc35588410"/>
      <w:bookmarkStart w:id="30" w:name="_Toc35588778"/>
      <w:r>
        <w:rPr>
          <w:rFonts w:hint="eastAsia" w:ascii="楷体_GB2312" w:eastAsia="楷体_GB2312"/>
          <w:sz w:val="32"/>
          <w:szCs w:val="32"/>
        </w:rPr>
        <w:t>（一）项目决策情况</w:t>
      </w:r>
      <w:bookmarkEnd w:id="28"/>
    </w:p>
    <w:p>
      <w:pPr>
        <w:adjustRightInd w:val="0"/>
        <w:snapToGrid w:val="0"/>
        <w:spacing w:line="560" w:lineRule="exact"/>
        <w:ind w:firstLine="640" w:firstLineChars="200"/>
        <w:rPr>
          <w:rFonts w:ascii="仿宋_GB2312" w:eastAsia="仿宋_GB2312"/>
          <w:sz w:val="32"/>
          <w:szCs w:val="32"/>
        </w:rPr>
      </w:pPr>
      <w:bookmarkStart w:id="31" w:name="_Hlk130147845"/>
      <w:r>
        <w:rPr>
          <w:rFonts w:hint="eastAsia" w:ascii="仿宋_GB2312" w:eastAsia="仿宋_GB2312"/>
          <w:iCs/>
          <w:sz w:val="32"/>
          <w:szCs w:val="32"/>
        </w:rPr>
        <w:t>项目立项依据总体充分，符合</w:t>
      </w:r>
      <w:r>
        <w:rPr>
          <w:rFonts w:hint="eastAsia" w:ascii="仿宋_GB2312" w:hAnsi="等线" w:eastAsia="仿宋_GB2312"/>
          <w:iCs/>
          <w:kern w:val="2"/>
          <w:sz w:val="32"/>
          <w:szCs w:val="32"/>
        </w:rPr>
        <w:t>中央、北京市有关政策文件要求</w:t>
      </w:r>
      <w:r>
        <w:rPr>
          <w:rFonts w:hint="eastAsia" w:ascii="仿宋_GB2312" w:eastAsia="仿宋_GB2312"/>
          <w:iCs/>
          <w:sz w:val="32"/>
          <w:szCs w:val="32"/>
        </w:rPr>
        <w:t>，与市政务服务局年度重点任务一致，与部门及单位职能职责相符。项目立项程序较为规范，经过了必要的集体决策，</w:t>
      </w:r>
      <w:r>
        <w:rPr>
          <w:rFonts w:hint="eastAsia" w:ascii="仿宋_GB2312" w:eastAsia="仿宋_GB2312"/>
          <w:iCs/>
          <w:sz w:val="32"/>
          <w:szCs w:val="32"/>
          <w:lang w:val="en-US" w:eastAsia="zh-CN"/>
        </w:rPr>
        <w:t>不属于市政务服务局政府购买服务负面清单，</w:t>
      </w:r>
      <w:r>
        <w:rPr>
          <w:rFonts w:hint="eastAsia" w:ascii="仿宋_GB2312" w:eastAsia="仿宋_GB2312"/>
          <w:iCs/>
          <w:sz w:val="32"/>
          <w:szCs w:val="32"/>
        </w:rPr>
        <w:t>立项材料符合相关要求，绩效目标设置较为合理，但存在个别绩效指标设置精细化不足、预算编制精准性有待提升等问题。</w:t>
      </w:r>
      <w:r>
        <w:rPr>
          <w:rFonts w:hint="eastAsia" w:ascii="仿宋_GB2312" w:eastAsia="仿宋_GB2312"/>
          <w:sz w:val="32"/>
          <w:szCs w:val="32"/>
        </w:rPr>
        <w:t>该指标分值20分，得分18.40分，得分率92.00%。具体得分情况见表5。</w:t>
      </w:r>
    </w:p>
    <w:p>
      <w:pPr>
        <w:adjustRightInd w:val="0"/>
        <w:snapToGrid w:val="0"/>
        <w:spacing w:line="560" w:lineRule="exact"/>
        <w:ind w:firstLine="560" w:firstLineChars="200"/>
        <w:jc w:val="center"/>
        <w:rPr>
          <w:rFonts w:ascii="仿宋_GB2312" w:eastAsia="仿宋_GB2312"/>
          <w:sz w:val="32"/>
          <w:szCs w:val="32"/>
        </w:rPr>
      </w:pPr>
      <w:r>
        <w:rPr>
          <w:rFonts w:hint="eastAsia" w:ascii="黑体" w:hAnsi="黑体" w:eastAsia="黑体"/>
          <w:sz w:val="28"/>
          <w:szCs w:val="28"/>
        </w:rPr>
        <w:t>表5：决策指标设定及评分情况表</w:t>
      </w:r>
    </w:p>
    <w:tbl>
      <w:tblPr>
        <w:tblStyle w:val="12"/>
        <w:tblW w:w="5000" w:type="pct"/>
        <w:tblInd w:w="80" w:type="dxa"/>
        <w:tblLayout w:type="autofit"/>
        <w:tblCellMar>
          <w:top w:w="0" w:type="dxa"/>
          <w:left w:w="28" w:type="dxa"/>
          <w:bottom w:w="0" w:type="dxa"/>
          <w:right w:w="28" w:type="dxa"/>
        </w:tblCellMar>
      </w:tblPr>
      <w:tblGrid>
        <w:gridCol w:w="995"/>
        <w:gridCol w:w="1000"/>
        <w:gridCol w:w="2187"/>
        <w:gridCol w:w="1393"/>
        <w:gridCol w:w="1393"/>
        <w:gridCol w:w="1394"/>
      </w:tblGrid>
      <w:tr>
        <w:tblPrEx>
          <w:tblCellMar>
            <w:top w:w="0" w:type="dxa"/>
            <w:left w:w="28" w:type="dxa"/>
            <w:bottom w:w="0" w:type="dxa"/>
            <w:right w:w="28" w:type="dxa"/>
          </w:tblCellMar>
        </w:tblPrEx>
        <w:trPr>
          <w:trHeight w:val="397" w:hRule="atLeast"/>
        </w:trPr>
        <w:tc>
          <w:tcPr>
            <w:tcW w:w="595" w:type="pct"/>
            <w:tcBorders>
              <w:top w:val="single" w:color="000000" w:sz="4" w:space="0"/>
              <w:left w:val="single" w:color="000000" w:sz="4" w:space="0"/>
              <w:bottom w:val="single" w:color="auto" w:sz="4" w:space="0"/>
              <w:right w:val="single" w:color="000000" w:sz="4" w:space="0"/>
            </w:tcBorders>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一级指标</w:t>
            </w:r>
          </w:p>
        </w:tc>
        <w:tc>
          <w:tcPr>
            <w:tcW w:w="598" w:type="pct"/>
            <w:tcBorders>
              <w:top w:val="single" w:color="000000" w:sz="4" w:space="0"/>
              <w:left w:val="nil"/>
              <w:bottom w:val="single" w:color="auto" w:sz="4" w:space="0"/>
              <w:right w:val="single" w:color="000000" w:sz="4" w:space="0"/>
            </w:tcBorders>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二级指标</w:t>
            </w:r>
          </w:p>
        </w:tc>
        <w:tc>
          <w:tcPr>
            <w:tcW w:w="1308" w:type="pct"/>
            <w:tcBorders>
              <w:top w:val="single" w:color="000000" w:sz="4" w:space="0"/>
              <w:left w:val="nil"/>
              <w:bottom w:val="single" w:color="auto" w:sz="4" w:space="0"/>
              <w:right w:val="single" w:color="000000" w:sz="4" w:space="0"/>
            </w:tcBorders>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三级指标</w:t>
            </w:r>
          </w:p>
        </w:tc>
        <w:tc>
          <w:tcPr>
            <w:tcW w:w="833" w:type="pct"/>
            <w:tcBorders>
              <w:top w:val="single" w:color="000000" w:sz="4" w:space="0"/>
              <w:left w:val="nil"/>
              <w:bottom w:val="single" w:color="000000" w:sz="4" w:space="0"/>
              <w:right w:val="single" w:color="000000" w:sz="4" w:space="0"/>
            </w:tcBorders>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分值</w:t>
            </w:r>
          </w:p>
        </w:tc>
        <w:tc>
          <w:tcPr>
            <w:tcW w:w="833" w:type="pct"/>
            <w:tcBorders>
              <w:top w:val="single" w:color="000000" w:sz="4" w:space="0"/>
              <w:left w:val="nil"/>
              <w:bottom w:val="single" w:color="000000" w:sz="4" w:space="0"/>
              <w:right w:val="single" w:color="000000" w:sz="4" w:space="0"/>
            </w:tcBorders>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得分</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得分率</w:t>
            </w:r>
          </w:p>
        </w:tc>
      </w:tr>
      <w:tr>
        <w:tblPrEx>
          <w:tblCellMar>
            <w:top w:w="0" w:type="dxa"/>
            <w:left w:w="28" w:type="dxa"/>
            <w:bottom w:w="0" w:type="dxa"/>
            <w:right w:w="28" w:type="dxa"/>
          </w:tblCellMar>
        </w:tblPrEx>
        <w:trPr>
          <w:trHeight w:val="397" w:hRule="atLeast"/>
        </w:trPr>
        <w:tc>
          <w:tcPr>
            <w:tcW w:w="595" w:type="pct"/>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决策</w:t>
            </w:r>
            <w:r>
              <w:rPr>
                <w:rFonts w:hint="eastAsia" w:ascii="宋体" w:hAnsi="宋体" w:eastAsia="宋体"/>
                <w:color w:val="000000"/>
                <w:kern w:val="0"/>
                <w:sz w:val="20"/>
                <w:szCs w:val="20"/>
              </w:rPr>
              <w:br w:type="textWrapping"/>
            </w:r>
            <w:r>
              <w:rPr>
                <w:rFonts w:hint="eastAsia" w:ascii="宋体" w:hAnsi="宋体" w:eastAsia="宋体"/>
                <w:color w:val="000000"/>
                <w:kern w:val="0"/>
                <w:sz w:val="20"/>
                <w:szCs w:val="20"/>
              </w:rPr>
              <w:t>（20分）</w:t>
            </w:r>
          </w:p>
        </w:tc>
        <w:tc>
          <w:tcPr>
            <w:tcW w:w="598" w:type="pct"/>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项目立项</w:t>
            </w:r>
          </w:p>
        </w:tc>
        <w:tc>
          <w:tcPr>
            <w:tcW w:w="1308" w:type="pc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立项依据充分性</w:t>
            </w:r>
          </w:p>
        </w:tc>
        <w:tc>
          <w:tcPr>
            <w:tcW w:w="833" w:type="pct"/>
            <w:tcBorders>
              <w:top w:val="single" w:color="000000" w:sz="4" w:space="0"/>
              <w:left w:val="single" w:color="auto" w:sz="4" w:space="0"/>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4</w:t>
            </w:r>
          </w:p>
        </w:tc>
        <w:tc>
          <w:tcPr>
            <w:tcW w:w="833" w:type="pct"/>
            <w:tcBorders>
              <w:top w:val="single" w:color="000000" w:sz="4" w:space="0"/>
              <w:left w:val="nil"/>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4.00</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100.00%</w:t>
            </w:r>
          </w:p>
        </w:tc>
      </w:tr>
      <w:tr>
        <w:tblPrEx>
          <w:tblCellMar>
            <w:top w:w="0" w:type="dxa"/>
            <w:left w:w="28" w:type="dxa"/>
            <w:bottom w:w="0" w:type="dxa"/>
            <w:right w:w="28" w:type="dxa"/>
          </w:tblCellMar>
        </w:tblPrEx>
        <w:trPr>
          <w:trHeight w:val="397"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olor w:val="000000"/>
                <w:kern w:val="0"/>
                <w:sz w:val="20"/>
                <w:szCs w:val="20"/>
              </w:rPr>
            </w:pPr>
          </w:p>
        </w:tc>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olor w:val="000000"/>
                <w:kern w:val="0"/>
                <w:sz w:val="20"/>
                <w:szCs w:val="20"/>
              </w:rPr>
            </w:pPr>
          </w:p>
        </w:tc>
        <w:tc>
          <w:tcPr>
            <w:tcW w:w="1308" w:type="pc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立项程序规范性</w:t>
            </w:r>
          </w:p>
        </w:tc>
        <w:tc>
          <w:tcPr>
            <w:tcW w:w="833" w:type="pct"/>
            <w:tcBorders>
              <w:top w:val="single" w:color="000000" w:sz="4" w:space="0"/>
              <w:left w:val="single" w:color="auto" w:sz="4" w:space="0"/>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4</w:t>
            </w:r>
          </w:p>
        </w:tc>
        <w:tc>
          <w:tcPr>
            <w:tcW w:w="833" w:type="pct"/>
            <w:tcBorders>
              <w:top w:val="single" w:color="000000" w:sz="4" w:space="0"/>
              <w:left w:val="nil"/>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4.00</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100.00%</w:t>
            </w:r>
          </w:p>
        </w:tc>
      </w:tr>
      <w:tr>
        <w:tblPrEx>
          <w:tblCellMar>
            <w:top w:w="0" w:type="dxa"/>
            <w:left w:w="28" w:type="dxa"/>
            <w:bottom w:w="0" w:type="dxa"/>
            <w:right w:w="28" w:type="dxa"/>
          </w:tblCellMar>
        </w:tblPrEx>
        <w:trPr>
          <w:trHeight w:val="397"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olor w:val="000000"/>
                <w:kern w:val="0"/>
                <w:sz w:val="20"/>
                <w:szCs w:val="20"/>
              </w:rPr>
            </w:pPr>
          </w:p>
        </w:tc>
        <w:tc>
          <w:tcPr>
            <w:tcW w:w="598" w:type="pct"/>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绩效指标</w:t>
            </w:r>
          </w:p>
        </w:tc>
        <w:tc>
          <w:tcPr>
            <w:tcW w:w="1308" w:type="pc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绩效目标合理性</w:t>
            </w:r>
          </w:p>
        </w:tc>
        <w:tc>
          <w:tcPr>
            <w:tcW w:w="833" w:type="pct"/>
            <w:tcBorders>
              <w:top w:val="single" w:color="000000" w:sz="4" w:space="0"/>
              <w:left w:val="single" w:color="auto" w:sz="4" w:space="0"/>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4</w:t>
            </w:r>
          </w:p>
        </w:tc>
        <w:tc>
          <w:tcPr>
            <w:tcW w:w="833" w:type="pct"/>
            <w:tcBorders>
              <w:top w:val="single" w:color="000000" w:sz="4" w:space="0"/>
              <w:left w:val="nil"/>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4.00</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100.00%</w:t>
            </w:r>
          </w:p>
        </w:tc>
      </w:tr>
      <w:tr>
        <w:tblPrEx>
          <w:tblCellMar>
            <w:top w:w="0" w:type="dxa"/>
            <w:left w:w="28" w:type="dxa"/>
            <w:bottom w:w="0" w:type="dxa"/>
            <w:right w:w="28" w:type="dxa"/>
          </w:tblCellMar>
        </w:tblPrEx>
        <w:trPr>
          <w:trHeight w:val="397"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olor w:val="000000"/>
                <w:kern w:val="0"/>
                <w:sz w:val="20"/>
                <w:szCs w:val="20"/>
              </w:rPr>
            </w:pPr>
          </w:p>
        </w:tc>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olor w:val="000000"/>
                <w:kern w:val="0"/>
                <w:sz w:val="20"/>
                <w:szCs w:val="20"/>
              </w:rPr>
            </w:pPr>
          </w:p>
        </w:tc>
        <w:tc>
          <w:tcPr>
            <w:tcW w:w="1308" w:type="pc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绩效指标明确性</w:t>
            </w:r>
          </w:p>
        </w:tc>
        <w:tc>
          <w:tcPr>
            <w:tcW w:w="833" w:type="pct"/>
            <w:tcBorders>
              <w:top w:val="single" w:color="000000" w:sz="4" w:space="0"/>
              <w:left w:val="single" w:color="auto" w:sz="4" w:space="0"/>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4</w:t>
            </w:r>
          </w:p>
        </w:tc>
        <w:tc>
          <w:tcPr>
            <w:tcW w:w="833" w:type="pct"/>
            <w:tcBorders>
              <w:top w:val="single" w:color="000000" w:sz="4" w:space="0"/>
              <w:left w:val="nil"/>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3.20</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80.00%</w:t>
            </w:r>
          </w:p>
        </w:tc>
      </w:tr>
      <w:tr>
        <w:tblPrEx>
          <w:tblCellMar>
            <w:top w:w="0" w:type="dxa"/>
            <w:left w:w="28" w:type="dxa"/>
            <w:bottom w:w="0" w:type="dxa"/>
            <w:right w:w="28" w:type="dxa"/>
          </w:tblCellMar>
        </w:tblPrEx>
        <w:trPr>
          <w:trHeight w:val="397"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olor w:val="000000"/>
                <w:kern w:val="0"/>
                <w:sz w:val="20"/>
                <w:szCs w:val="20"/>
              </w:rPr>
            </w:pPr>
          </w:p>
        </w:tc>
        <w:tc>
          <w:tcPr>
            <w:tcW w:w="598" w:type="pc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资金投入</w:t>
            </w:r>
          </w:p>
        </w:tc>
        <w:tc>
          <w:tcPr>
            <w:tcW w:w="1308" w:type="pc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预算编制科学性</w:t>
            </w:r>
          </w:p>
        </w:tc>
        <w:tc>
          <w:tcPr>
            <w:tcW w:w="833" w:type="pct"/>
            <w:tcBorders>
              <w:top w:val="single" w:color="000000" w:sz="4" w:space="0"/>
              <w:left w:val="single" w:color="auto" w:sz="4" w:space="0"/>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4</w:t>
            </w:r>
          </w:p>
        </w:tc>
        <w:tc>
          <w:tcPr>
            <w:tcW w:w="833" w:type="pct"/>
            <w:tcBorders>
              <w:top w:val="single" w:color="000000" w:sz="4" w:space="0"/>
              <w:left w:val="nil"/>
              <w:bottom w:val="single" w:color="000000" w:sz="4" w:space="0"/>
              <w:right w:val="single" w:color="000000" w:sz="4" w:space="0"/>
            </w:tcBorders>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3.20</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color w:val="000000"/>
                <w:kern w:val="0"/>
                <w:sz w:val="20"/>
                <w:szCs w:val="20"/>
              </w:rPr>
            </w:pPr>
            <w:r>
              <w:rPr>
                <w:rFonts w:hint="eastAsia" w:ascii="宋体" w:hAnsi="宋体" w:eastAsia="宋体"/>
                <w:color w:val="000000"/>
                <w:kern w:val="0"/>
                <w:sz w:val="20"/>
                <w:szCs w:val="20"/>
              </w:rPr>
              <w:t>80.00%</w:t>
            </w:r>
          </w:p>
        </w:tc>
      </w:tr>
      <w:tr>
        <w:tblPrEx>
          <w:tblCellMar>
            <w:top w:w="0" w:type="dxa"/>
            <w:left w:w="28" w:type="dxa"/>
            <w:bottom w:w="0" w:type="dxa"/>
            <w:right w:w="28" w:type="dxa"/>
          </w:tblCellMar>
        </w:tblPrEx>
        <w:trPr>
          <w:trHeight w:val="397" w:hRule="atLeast"/>
        </w:trPr>
        <w:tc>
          <w:tcPr>
            <w:tcW w:w="2501" w:type="pct"/>
            <w:gridSpan w:val="3"/>
            <w:tcBorders>
              <w:top w:val="single" w:color="auto" w:sz="4" w:space="0"/>
              <w:left w:val="single" w:color="000000" w:sz="4" w:space="0"/>
              <w:bottom w:val="single" w:color="000000" w:sz="4" w:space="0"/>
              <w:right w:val="single" w:color="000000" w:sz="4" w:space="0"/>
            </w:tcBorders>
            <w:noWrap/>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合计</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20</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18.40</w:t>
            </w:r>
          </w:p>
        </w:tc>
        <w:tc>
          <w:tcPr>
            <w:tcW w:w="833" w:type="pct"/>
            <w:tcBorders>
              <w:top w:val="single" w:color="000000" w:sz="4" w:space="0"/>
              <w:left w:val="nil"/>
              <w:bottom w:val="single" w:color="000000" w:sz="4" w:space="0"/>
              <w:right w:val="single" w:color="000000" w:sz="4" w:space="0"/>
            </w:tcBorders>
            <w:noWrap/>
            <w:vAlign w:val="center"/>
          </w:tcPr>
          <w:p>
            <w:pPr>
              <w:widowControl/>
              <w:jc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92.00%</w:t>
            </w:r>
          </w:p>
        </w:tc>
      </w:tr>
    </w:tbl>
    <w:p>
      <w:pPr>
        <w:adjustRightInd w:val="0"/>
        <w:snapToGrid w:val="0"/>
        <w:spacing w:line="560" w:lineRule="exact"/>
        <w:ind w:firstLine="400" w:firstLineChars="200"/>
        <w:rPr>
          <w:rFonts w:hint="eastAsia" w:ascii="宋体" w:hAnsi="宋体" w:eastAsia="宋体"/>
          <w:sz w:val="20"/>
          <w:szCs w:val="20"/>
        </w:rPr>
      </w:pPr>
      <w:r>
        <w:rPr>
          <w:rFonts w:hint="eastAsia" w:ascii="宋体" w:hAnsi="宋体" w:eastAsia="宋体"/>
          <w:sz w:val="20"/>
          <w:szCs w:val="20"/>
        </w:rPr>
        <w:t xml:space="preserve"> </w:t>
      </w:r>
    </w:p>
    <w:p>
      <w:pPr>
        <w:adjustRightInd w:val="0"/>
        <w:snapToGrid w:val="0"/>
        <w:spacing w:line="560" w:lineRule="exact"/>
        <w:ind w:firstLine="400" w:firstLineChars="200"/>
        <w:rPr>
          <w:rFonts w:hint="eastAsia" w:ascii="宋体" w:hAnsi="宋体" w:eastAsia="宋体"/>
          <w:sz w:val="20"/>
          <w:szCs w:val="20"/>
        </w:rPr>
      </w:pPr>
    </w:p>
    <w:bookmarkEnd w:id="31"/>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1.项目立项</w:t>
      </w:r>
    </w:p>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（1）立项依据充分性</w:t>
      </w:r>
    </w:p>
    <w:p>
      <w:pPr>
        <w:adjustRightInd w:val="0"/>
        <w:snapToGrid w:val="0"/>
        <w:spacing w:line="560" w:lineRule="exact"/>
        <w:ind w:firstLine="640" w:firstLineChars="200"/>
        <w:rPr>
          <w:rFonts w:ascii="仿宋_GB2312" w:hAnsi="宋体" w:eastAsia="仿宋_GB2312"/>
          <w:kern w:val="0"/>
          <w:sz w:val="32"/>
          <w:szCs w:val="32"/>
        </w:rPr>
      </w:pPr>
      <w:bookmarkStart w:id="32" w:name="_Hlk130132679"/>
      <w:r>
        <w:rPr>
          <w:rFonts w:hint="eastAsia" w:ascii="仿宋_GB2312" w:hAnsi="宋体" w:eastAsia="仿宋_GB2312"/>
          <w:kern w:val="0"/>
          <w:sz w:val="32"/>
          <w:szCs w:val="32"/>
        </w:rPr>
        <w:t>项目符合《行政事业单位内部控制规范（试行）》（财会〔2012〕21号）中“单位应当建立经济活动风险定期评估机制，对经济活动存在的风险进行全面、系统和客观评估”和《财政部关于全面推进行政事业单位内部控制建设的指导意见（财会〔2015〕24号）》中“已经建立并实施内部控制的单位应当按照本指导意见和《单位内控规范》要求，对本单位内部控制制度的全面性、重要性、制衡性、适应性和有效性进行自我评价、对照检查，并针对存在的问题，抓好整改落实，进一步健全制度，提高执行力，完善监督措施，确保内部控制有效实施”的相关要求。</w:t>
      </w:r>
    </w:p>
    <w:p>
      <w:pPr>
        <w:adjustRightInd w:val="0"/>
        <w:snapToGrid w:val="0"/>
        <w:spacing w:line="560" w:lineRule="exact"/>
        <w:ind w:firstLine="640" w:firstLineChars="200"/>
        <w:rPr>
          <w:rFonts w:hint="eastAsia" w:ascii="仿宋_GB2312" w:hAnsi="宋体" w:eastAsia="仿宋_GB2312"/>
          <w:kern w:val="0"/>
          <w:sz w:val="32"/>
          <w:szCs w:val="32"/>
        </w:rPr>
      </w:pPr>
      <w:r>
        <w:rPr>
          <w:rFonts w:hint="eastAsia" w:ascii="仿宋_GB2312" w:hAnsi="宋体" w:eastAsia="仿宋_GB2312"/>
          <w:kern w:val="0"/>
          <w:sz w:val="32"/>
          <w:szCs w:val="32"/>
        </w:rPr>
        <w:t>项目遵循《北京市财政投资项目评审操作规程（试行）》中“财政专项资金项目评审方法主要采用重点审查法和全面审查法。评审中如有特殊需要，可以聘请专业人才，对评审事项中某些专业问题进行咨询”以及《财政部关于印发行政事业单位资产清查核实管理办法》中“行政事业单位可以委托依法设立的，具备与所承担工作相适应的专业人员和专业胜任能力的会计师事务所等社会中介机构对资产清查结果进行专项审计”的规定。</w:t>
      </w:r>
    </w:p>
    <w:p>
      <w:pPr>
        <w:adjustRightInd w:val="0"/>
        <w:snapToGrid w:val="0"/>
        <w:spacing w:line="560" w:lineRule="exact"/>
        <w:ind w:firstLine="640" w:firstLineChars="200"/>
        <w:rPr>
          <w:rFonts w:hint="eastAsia" w:ascii="仿宋_GB2312" w:hAnsi="宋体" w:eastAsia="仿宋_GB2312"/>
          <w:kern w:val="0"/>
          <w:sz w:val="32"/>
          <w:szCs w:val="32"/>
        </w:rPr>
      </w:pPr>
      <w:r>
        <w:rPr>
          <w:rFonts w:hint="eastAsia" w:ascii="仿宋_GB2312" w:hAnsi="宋体" w:eastAsia="仿宋_GB2312"/>
          <w:kern w:val="0"/>
          <w:sz w:val="32"/>
          <w:szCs w:val="32"/>
        </w:rPr>
        <w:t>项目立项实施遵循《北京市项目支出绩效评价管理办法》（京财绩效〔2020〕2146号）、《北京市市级部门预算绩效运行监控管理办法》（京财绩效〔2020〕2034号）、《北京市预算绩效目标管理办法》（京财绩效〔2020〕2137号）、《北京市市级财政支出事前绩效评估管理办法》（京财绩效〔2021〕1837号）等系列全面预算绩效管理制度规定。</w:t>
      </w:r>
    </w:p>
    <w:p>
      <w:pPr>
        <w:adjustRightInd w:val="0"/>
        <w:snapToGrid w:val="0"/>
        <w:spacing w:line="560" w:lineRule="exact"/>
        <w:ind w:firstLine="640" w:firstLineChars="200"/>
        <w:rPr>
          <w:rFonts w:hint="eastAsia" w:ascii="仿宋_GB2312" w:hAnsi="宋体" w:eastAsia="仿宋_GB2312"/>
          <w:kern w:val="0"/>
          <w:sz w:val="32"/>
          <w:szCs w:val="32"/>
        </w:rPr>
      </w:pPr>
      <w:r>
        <w:rPr>
          <w:rFonts w:hint="eastAsia" w:ascii="仿宋_GB2312" w:hAnsi="宋体" w:eastAsia="仿宋_GB2312"/>
          <w:kern w:val="0"/>
          <w:sz w:val="32"/>
          <w:szCs w:val="32"/>
        </w:rPr>
        <w:t>项目立项与国家、北京市有关政策文件相关性较强。</w:t>
      </w:r>
    </w:p>
    <w:p>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sz w:val="32"/>
          <w:szCs w:val="32"/>
        </w:rPr>
        <w:t>市政务服务局财务处具有“承担机关及所属单位的财务工作，负责部门预算决算编制及日常核算管理，组织实施内部审计及财务监督”的职责，项目立项属于市政务服务局财务处履职所需，有助于部门职责及</w:t>
      </w:r>
      <w:r>
        <w:rPr>
          <w:rFonts w:ascii="仿宋_GB2312" w:eastAsia="仿宋_GB2312"/>
          <w:sz w:val="32"/>
          <w:szCs w:val="32"/>
        </w:rPr>
        <w:t>2023年度政务服务行动计划的发挥</w:t>
      </w:r>
      <w:r>
        <w:rPr>
          <w:rFonts w:hint="eastAsia" w:ascii="仿宋_GB2312" w:eastAsia="仿宋_GB2312"/>
          <w:sz w:val="32"/>
          <w:szCs w:val="32"/>
        </w:rPr>
        <w:t>。该项目</w:t>
      </w:r>
      <w:r>
        <w:rPr>
          <w:rFonts w:ascii="仿宋_GB2312" w:eastAsia="仿宋_GB2312"/>
          <w:sz w:val="32"/>
          <w:szCs w:val="32"/>
        </w:rPr>
        <w:t>不属</w:t>
      </w:r>
      <w:r>
        <w:rPr>
          <w:rFonts w:hint="eastAsia" w:ascii="仿宋_GB2312" w:eastAsia="仿宋_GB2312"/>
          <w:sz w:val="32"/>
          <w:szCs w:val="32"/>
        </w:rPr>
        <w:t>于</w:t>
      </w:r>
      <w:r>
        <w:rPr>
          <w:rFonts w:ascii="仿宋_GB2312" w:eastAsia="仿宋_GB2312"/>
          <w:sz w:val="32"/>
          <w:szCs w:val="32"/>
        </w:rPr>
        <w:t>《北京市政务服务管理局政府购买服务负面清单》</w:t>
      </w:r>
      <w:r>
        <w:rPr>
          <w:rFonts w:hint="eastAsia" w:ascii="仿宋_GB2312" w:eastAsia="仿宋_GB2312"/>
          <w:sz w:val="32"/>
          <w:szCs w:val="32"/>
        </w:rPr>
        <w:t>事项，项目的实施有助于全面健全部门财务监督服务体系，提高财政资金的使用效率，进而保障各业务处室各项政务服务工作顺利开展，属于公共财政支持范围，与相关部门同类项目或部门内部相关项目不重复，相关服务事项未同时通过编外用工申报预算，立项依据总体充分。</w:t>
      </w:r>
    </w:p>
    <w:bookmarkEnd w:id="32"/>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（2）立项程序规范性</w:t>
      </w:r>
    </w:p>
    <w:p>
      <w:pPr>
        <w:adjustRightInd w:val="0"/>
        <w:snapToGrid w:val="0"/>
        <w:spacing w:line="560" w:lineRule="exact"/>
        <w:ind w:firstLine="640" w:firstLineChars="200"/>
        <w:rPr>
          <w:rFonts w:ascii="仿宋_GB2312" w:eastAsia="仿宋_GB2312"/>
          <w:sz w:val="32"/>
          <w:szCs w:val="32"/>
        </w:rPr>
      </w:pPr>
      <w:bookmarkStart w:id="33" w:name="_Hlk130131142"/>
      <w:r>
        <w:rPr>
          <w:rFonts w:hint="eastAsia" w:ascii="仿宋_GB2312" w:eastAsia="仿宋_GB2312"/>
          <w:sz w:val="32"/>
          <w:szCs w:val="32"/>
        </w:rPr>
        <w:t>项目为多年延续性项目，在前期项目评估论证与已获取的管理实施经验的基础上，市政务服务局财务处编制了2023年度项目申报文本、绩效目标表、预算明细表等相关资料，委托北京恒诚永信会计师事务所（普通合伙）于2022年10月对2023年度财务综合服务项目预算进行了评审。经市政务服务局党组会集体决策后，连同部门其他预算，由财务处按照规定要求正式报送市财政局。项目预算经过“两上”“两下”预算编制程序后，由市财政局随同部门预算批复。</w:t>
      </w:r>
    </w:p>
    <w:p>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sz w:val="32"/>
          <w:szCs w:val="32"/>
        </w:rPr>
        <w:t>项目为</w:t>
      </w:r>
      <w:r>
        <w:rPr>
          <w:rFonts w:ascii="仿宋_GB2312" w:eastAsia="仿宋_GB2312"/>
          <w:sz w:val="32"/>
          <w:szCs w:val="32"/>
        </w:rPr>
        <w:t>政府履职辅助性服务</w:t>
      </w:r>
      <w:r>
        <w:rPr>
          <w:rFonts w:hint="eastAsia" w:ascii="仿宋_GB2312" w:eastAsia="仿宋_GB2312"/>
          <w:sz w:val="32"/>
          <w:szCs w:val="32"/>
        </w:rPr>
        <w:t>项目，</w:t>
      </w:r>
      <w:r>
        <w:rPr>
          <w:rFonts w:ascii="仿宋_GB2312" w:eastAsia="仿宋_GB2312"/>
          <w:sz w:val="32"/>
          <w:szCs w:val="32"/>
        </w:rPr>
        <w:t>属《北京市政务服务管理局政府购买服务指导性目录》中明确的</w:t>
      </w:r>
      <w:r>
        <w:rPr>
          <w:rFonts w:hint="eastAsia" w:ascii="仿宋_GB2312" w:eastAsia="仿宋_GB2312"/>
          <w:sz w:val="32"/>
          <w:szCs w:val="32"/>
        </w:rPr>
        <w:t>“会计、审计”</w:t>
      </w:r>
      <w:r>
        <w:rPr>
          <w:rFonts w:ascii="仿宋_GB2312" w:eastAsia="仿宋_GB2312"/>
          <w:sz w:val="32"/>
          <w:szCs w:val="32"/>
        </w:rPr>
        <w:t>等内容</w:t>
      </w:r>
      <w:r>
        <w:rPr>
          <w:rFonts w:hint="eastAsia" w:ascii="仿宋_GB2312" w:eastAsia="仿宋_GB2312"/>
          <w:sz w:val="32"/>
          <w:szCs w:val="32"/>
        </w:rPr>
        <w:t>，服务内容、标准、技术保障较为明确，采购实施计划较为完整，项目立项程序总体规范。</w:t>
      </w:r>
    </w:p>
    <w:bookmarkEnd w:id="33"/>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2.绩效目标</w:t>
      </w:r>
    </w:p>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（1）绩效目标合理性</w:t>
      </w:r>
    </w:p>
    <w:p>
      <w:pPr>
        <w:adjustRightInd w:val="0"/>
        <w:snapToGrid w:val="0"/>
        <w:spacing w:line="560" w:lineRule="exact"/>
        <w:ind w:firstLine="640" w:firstLineChars="200"/>
        <w:rPr>
          <w:rFonts w:ascii="仿宋_GB2312" w:eastAsia="仿宋_GB2312"/>
          <w:iCs/>
          <w:sz w:val="32"/>
          <w:szCs w:val="32"/>
        </w:rPr>
      </w:pPr>
      <w:bookmarkStart w:id="34" w:name="_Hlk130125086"/>
      <w:r>
        <w:rPr>
          <w:rFonts w:hint="eastAsia" w:ascii="仿宋_GB2312" w:eastAsia="仿宋_GB2312"/>
          <w:iCs/>
          <w:sz w:val="32"/>
          <w:szCs w:val="32"/>
        </w:rPr>
        <w:t>项目绩效目标设置与政府购买服务的实际实施内容吻合，既能够体现财务会计业务规范提升、内部审计、内部控制管理、预算评审、预算绩效管理、财务软件信息管理系统运维等6项核心产出，又能够体现出“促进各项财务支出合规，会计核算过程规范；促进资金使用安全、经济，预算绩效管理一体化水平提升” 这一主要实施效益，预期的产出和效益效果符合实际，且与项目预算资金量相匹配，项目绩效目标设置合理。</w:t>
      </w:r>
    </w:p>
    <w:bookmarkEnd w:id="34"/>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（2）绩效指标明确性</w:t>
      </w:r>
    </w:p>
    <w:p>
      <w:pPr>
        <w:adjustRightInd w:val="0"/>
        <w:snapToGrid w:val="0"/>
        <w:spacing w:line="560" w:lineRule="exact"/>
        <w:ind w:firstLine="640" w:firstLineChars="200"/>
        <w:rPr>
          <w:rFonts w:ascii="仿宋_GB2312" w:hAnsi="黑体" w:eastAsia="仿宋_GB2312"/>
          <w:iCs/>
          <w:sz w:val="32"/>
          <w:szCs w:val="32"/>
          <w:highlight w:val="none"/>
        </w:rPr>
      </w:pPr>
      <w:r>
        <w:rPr>
          <w:rFonts w:hint="eastAsia" w:ascii="仿宋_GB2312" w:hAnsi="黑体" w:eastAsia="仿宋_GB2312"/>
          <w:iCs/>
          <w:sz w:val="32"/>
          <w:szCs w:val="32"/>
        </w:rPr>
        <w:t>项目依据设定的绩效目标，结合项目具体实施计划，将绩效目标细化分解为成本、产出数量、质量、时效及效益等具体的绩效指标，绩效指标设置较为全面、清晰、可衡量。但</w:t>
      </w:r>
      <w:r>
        <w:rPr>
          <w:rFonts w:hint="eastAsia" w:ascii="仿宋_GB2312" w:hAnsi="黑体" w:eastAsia="仿宋_GB2312"/>
          <w:iCs/>
          <w:sz w:val="32"/>
          <w:szCs w:val="32"/>
          <w:highlight w:val="none"/>
        </w:rPr>
        <w:t>因项目为综合性项目，各事项专业性较强、分工较多，结合各业务的特点及专业特点归纳总结不足，指标设置精细化水平有待进一步提升。</w:t>
      </w:r>
    </w:p>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3.资金投入</w:t>
      </w:r>
    </w:p>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（1）预算编制科学性</w:t>
      </w:r>
    </w:p>
    <w:p>
      <w:pPr>
        <w:adjustRightInd w:val="0"/>
        <w:snapToGrid w:val="0"/>
        <w:spacing w:line="560" w:lineRule="exact"/>
        <w:ind w:firstLine="640" w:firstLineChars="200"/>
        <w:rPr>
          <w:rFonts w:ascii="仿宋_GB2312" w:eastAsia="仿宋_GB2312"/>
          <w:sz w:val="32"/>
          <w:szCs w:val="32"/>
          <w:highlight w:val="none"/>
        </w:rPr>
      </w:pPr>
      <w:r>
        <w:rPr>
          <w:rFonts w:hint="eastAsia" w:ascii="仿宋_GB2312" w:eastAsia="仿宋_GB2312"/>
          <w:iCs/>
          <w:sz w:val="32"/>
          <w:szCs w:val="32"/>
        </w:rPr>
        <w:t>市政务服务局财务处参考市场行业工资薪酬及本年度任务需求进行了初步预算测算，并</w:t>
      </w:r>
      <w:r>
        <w:rPr>
          <w:rFonts w:hint="eastAsia" w:ascii="仿宋_GB2312" w:eastAsia="仿宋_GB2312"/>
          <w:sz w:val="32"/>
          <w:szCs w:val="32"/>
        </w:rPr>
        <w:t>委托北京恒诚永信会计师事务所（普通合伙）</w:t>
      </w:r>
      <w:r>
        <w:rPr>
          <w:rFonts w:hint="eastAsia" w:ascii="仿宋_GB2312" w:eastAsia="仿宋_GB2312"/>
          <w:iCs/>
          <w:sz w:val="32"/>
          <w:szCs w:val="32"/>
        </w:rPr>
        <w:t>进行了项目预算评审</w:t>
      </w:r>
      <w:r>
        <w:rPr>
          <w:rFonts w:hint="eastAsia" w:ascii="仿宋_GB2312" w:eastAsia="仿宋_GB2312"/>
          <w:sz w:val="32"/>
          <w:szCs w:val="32"/>
        </w:rPr>
        <w:t>。项目预算明细、资金量与计划内容、工作任务相匹配。但项目预算编制科学性仍有进一步提升改进空间：一是财务综合服务项目6个子项支出暂未形成相应成本定额标准；二是因综合考虑部门可申报的资金体量及个别子项存在据实结算等情况，导致项目尾款资金测算金额与实际执行金额之间存在略微出入，如，测算支付合同尾款154.735万元，实际支出合同尾款143.235万元，差额11.50万，差额率7.43</w:t>
      </w:r>
      <w:r>
        <w:rPr>
          <w:rFonts w:hint="eastAsia" w:ascii="仿宋_GB2312" w:eastAsia="仿宋_GB2312"/>
          <w:sz w:val="32"/>
          <w:szCs w:val="32"/>
          <w:highlight w:val="none"/>
        </w:rPr>
        <w:t>%。</w:t>
      </w:r>
    </w:p>
    <w:bookmarkEnd w:id="29"/>
    <w:bookmarkEnd w:id="30"/>
    <w:p>
      <w:pPr>
        <w:adjustRightInd w:val="0"/>
        <w:snapToGrid w:val="0"/>
        <w:spacing w:line="560" w:lineRule="exact"/>
        <w:ind w:firstLine="640" w:firstLineChars="200"/>
        <w:outlineLvl w:val="1"/>
        <w:rPr>
          <w:rFonts w:ascii="楷体_GB2312" w:eastAsia="楷体_GB2312"/>
          <w:sz w:val="32"/>
          <w:szCs w:val="32"/>
        </w:rPr>
      </w:pPr>
      <w:bookmarkStart w:id="35" w:name="_Toc167139776"/>
      <w:bookmarkStart w:id="36" w:name="_Toc35588414"/>
      <w:bookmarkStart w:id="37" w:name="_Toc35588779"/>
      <w:r>
        <w:rPr>
          <w:rFonts w:hint="eastAsia" w:ascii="楷体_GB2312" w:hAnsi="宋体" w:eastAsia="楷体_GB2312" w:cs="宋体"/>
          <w:kern w:val="0"/>
          <w:sz w:val="32"/>
          <w:szCs w:val="32"/>
        </w:rPr>
        <w:t>（二）项目过程情况</w:t>
      </w:r>
      <w:bookmarkEnd w:id="35"/>
    </w:p>
    <w:p>
      <w:pPr>
        <w:spacing w:line="560" w:lineRule="exact"/>
        <w:ind w:firstLine="640" w:firstLineChars="200"/>
        <w:rPr>
          <w:rFonts w:ascii="仿宋_GB2312" w:eastAsia="仿宋_GB2312"/>
          <w:iCs/>
          <w:sz w:val="32"/>
          <w:szCs w:val="32"/>
        </w:rPr>
      </w:pPr>
      <w:bookmarkStart w:id="38" w:name="_Hlk130116776"/>
      <w:r>
        <w:rPr>
          <w:rFonts w:hint="eastAsia" w:ascii="仿宋_GB2312" w:eastAsia="仿宋_GB2312"/>
          <w:iCs/>
          <w:sz w:val="32"/>
          <w:szCs w:val="32"/>
        </w:rPr>
        <w:t>项目资金于2023年2月及时到位，能够确保项目各项工作顺利开展，项目预算执行率100.00%，资金使用合法合规，项目财务和业务管理制度较为健全，</w:t>
      </w:r>
      <w:r>
        <w:rPr>
          <w:rFonts w:hint="eastAsia" w:ascii="仿宋_GB2312" w:hAnsi="Times New Roman" w:eastAsia="仿宋_GB2312"/>
          <w:sz w:val="32"/>
          <w:szCs w:val="32"/>
        </w:rPr>
        <w:t>采购过程材料、项目合同书、验收单等资料较为齐全</w:t>
      </w:r>
      <w:r>
        <w:rPr>
          <w:rFonts w:hint="eastAsia" w:ascii="仿宋_GB2312" w:eastAsia="仿宋_GB2312"/>
          <w:iCs/>
          <w:sz w:val="32"/>
          <w:szCs w:val="32"/>
        </w:rPr>
        <w:t>。但是，作为延续性项目，项目管理过程中缺乏对管理经验的提炼与归纳，项目验收成果材料可进一步完善</w:t>
      </w:r>
      <w:r>
        <w:rPr>
          <w:rFonts w:hint="eastAsia" w:ascii="仿宋_GB2312" w:eastAsia="仿宋_GB2312"/>
          <w:iCs/>
          <w:sz w:val="32"/>
          <w:szCs w:val="32"/>
          <w:highlight w:val="none"/>
        </w:rPr>
        <w:t>。</w:t>
      </w:r>
      <w:r>
        <w:rPr>
          <w:rFonts w:hint="eastAsia" w:ascii="仿宋_GB2312" w:eastAsia="仿宋_GB2312"/>
          <w:iCs/>
          <w:sz w:val="32"/>
          <w:szCs w:val="32"/>
        </w:rPr>
        <w:t>该指标分值20分，得分18.00分，得分率90.00%。具体得分情况见表6。</w:t>
      </w:r>
    </w:p>
    <w:p>
      <w:pPr>
        <w:adjustRightInd w:val="0"/>
        <w:snapToGrid w:val="0"/>
        <w:spacing w:line="360" w:lineRule="auto"/>
        <w:ind w:firstLine="560" w:firstLineChars="200"/>
        <w:jc w:val="center"/>
        <w:rPr>
          <w:rFonts w:ascii="仿宋_GB2312" w:eastAsia="仿宋_GB2312"/>
          <w:iCs/>
          <w:sz w:val="32"/>
          <w:szCs w:val="32"/>
        </w:rPr>
      </w:pPr>
      <w:r>
        <w:rPr>
          <w:rFonts w:hint="eastAsia" w:ascii="黑体" w:hAnsi="黑体" w:eastAsia="黑体"/>
          <w:iCs/>
          <w:sz w:val="28"/>
          <w:szCs w:val="28"/>
        </w:rPr>
        <w:t>表6：过程指标设定及评分情况表</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1044"/>
        <w:gridCol w:w="1569"/>
        <w:gridCol w:w="2551"/>
        <w:gridCol w:w="972"/>
        <w:gridCol w:w="1114"/>
        <w:gridCol w:w="1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tblHeader/>
          <w:jc w:val="center"/>
        </w:trPr>
        <w:tc>
          <w:tcPr>
            <w:tcW w:w="62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一级指标</w:t>
            </w:r>
          </w:p>
        </w:tc>
        <w:tc>
          <w:tcPr>
            <w:tcW w:w="938"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二级指标</w:t>
            </w:r>
          </w:p>
        </w:tc>
        <w:tc>
          <w:tcPr>
            <w:tcW w:w="152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三级指标</w:t>
            </w:r>
          </w:p>
        </w:tc>
        <w:tc>
          <w:tcPr>
            <w:tcW w:w="581"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分值</w:t>
            </w:r>
          </w:p>
        </w:tc>
        <w:tc>
          <w:tcPr>
            <w:tcW w:w="666"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得分</w:t>
            </w:r>
          </w:p>
        </w:tc>
        <w:tc>
          <w:tcPr>
            <w:tcW w:w="66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624" w:type="pct"/>
            <w:vMerge w:val="restart"/>
            <w:tcBorders>
              <w:top w:val="nil"/>
              <w:left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过程</w:t>
            </w:r>
          </w:p>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（20分）</w:t>
            </w:r>
          </w:p>
        </w:tc>
        <w:tc>
          <w:tcPr>
            <w:tcW w:w="938" w:type="pct"/>
            <w:vMerge w:val="restart"/>
            <w:tcBorders>
              <w:top w:val="nil"/>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资金管理</w:t>
            </w:r>
          </w:p>
        </w:tc>
        <w:tc>
          <w:tcPr>
            <w:tcW w:w="152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预算执行率</w:t>
            </w:r>
          </w:p>
        </w:tc>
        <w:tc>
          <w:tcPr>
            <w:tcW w:w="581"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3</w:t>
            </w:r>
          </w:p>
        </w:tc>
        <w:tc>
          <w:tcPr>
            <w:tcW w:w="666"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3.00</w:t>
            </w:r>
          </w:p>
        </w:tc>
        <w:tc>
          <w:tcPr>
            <w:tcW w:w="66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624" w:type="pct"/>
            <w:vMerge w:val="continue"/>
            <w:tcBorders>
              <w:left w:val="single" w:color="auto" w:sz="4" w:space="0"/>
              <w:right w:val="single" w:color="auto" w:sz="4" w:space="0"/>
            </w:tcBorders>
            <w:vAlign w:val="center"/>
          </w:tcPr>
          <w:p>
            <w:pPr>
              <w:widowControl/>
              <w:jc w:val="left"/>
              <w:rPr>
                <w:rFonts w:ascii="宋体" w:hAnsi="宋体" w:eastAsia="宋体"/>
                <w:iCs/>
                <w:kern w:val="0"/>
                <w:sz w:val="20"/>
                <w:szCs w:val="20"/>
              </w:rPr>
            </w:pPr>
          </w:p>
        </w:tc>
        <w:tc>
          <w:tcPr>
            <w:tcW w:w="0" w:type="auto"/>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iCs/>
                <w:kern w:val="0"/>
                <w:sz w:val="20"/>
                <w:szCs w:val="20"/>
              </w:rPr>
            </w:pPr>
          </w:p>
        </w:tc>
        <w:tc>
          <w:tcPr>
            <w:tcW w:w="152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资金使用合规性</w:t>
            </w:r>
          </w:p>
        </w:tc>
        <w:tc>
          <w:tcPr>
            <w:tcW w:w="581"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4</w:t>
            </w:r>
          </w:p>
        </w:tc>
        <w:tc>
          <w:tcPr>
            <w:tcW w:w="666"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4.00</w:t>
            </w:r>
          </w:p>
        </w:tc>
        <w:tc>
          <w:tcPr>
            <w:tcW w:w="66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624" w:type="pct"/>
            <w:vMerge w:val="continue"/>
            <w:tcBorders>
              <w:left w:val="single" w:color="auto" w:sz="4" w:space="0"/>
              <w:right w:val="single" w:color="auto" w:sz="4" w:space="0"/>
            </w:tcBorders>
            <w:vAlign w:val="center"/>
          </w:tcPr>
          <w:p>
            <w:pPr>
              <w:widowControl/>
              <w:jc w:val="center"/>
              <w:rPr>
                <w:rFonts w:ascii="宋体" w:hAnsi="宋体" w:eastAsia="宋体"/>
                <w:iCs/>
                <w:kern w:val="0"/>
                <w:sz w:val="20"/>
                <w:szCs w:val="20"/>
              </w:rPr>
            </w:pPr>
          </w:p>
        </w:tc>
        <w:tc>
          <w:tcPr>
            <w:tcW w:w="938" w:type="pct"/>
            <w:vMerge w:val="restart"/>
            <w:tcBorders>
              <w:top w:val="nil"/>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组织实施</w:t>
            </w:r>
          </w:p>
        </w:tc>
        <w:tc>
          <w:tcPr>
            <w:tcW w:w="152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管理制度健全性</w:t>
            </w:r>
          </w:p>
        </w:tc>
        <w:tc>
          <w:tcPr>
            <w:tcW w:w="581"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3</w:t>
            </w:r>
          </w:p>
        </w:tc>
        <w:tc>
          <w:tcPr>
            <w:tcW w:w="666"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2.20</w:t>
            </w:r>
          </w:p>
        </w:tc>
        <w:tc>
          <w:tcPr>
            <w:tcW w:w="66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73.33%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624" w:type="pct"/>
            <w:vMerge w:val="continue"/>
            <w:tcBorders>
              <w:left w:val="single" w:color="auto" w:sz="4" w:space="0"/>
              <w:bottom w:val="single" w:color="auto" w:sz="4" w:space="0"/>
              <w:right w:val="single" w:color="auto" w:sz="4" w:space="0"/>
            </w:tcBorders>
            <w:vAlign w:val="center"/>
          </w:tcPr>
          <w:p>
            <w:pPr>
              <w:widowControl/>
              <w:jc w:val="left"/>
              <w:rPr>
                <w:rFonts w:ascii="宋体" w:hAnsi="宋体" w:eastAsia="宋体"/>
                <w:iCs/>
                <w:kern w:val="0"/>
                <w:sz w:val="20"/>
                <w:szCs w:val="20"/>
              </w:rPr>
            </w:pPr>
          </w:p>
        </w:tc>
        <w:tc>
          <w:tcPr>
            <w:tcW w:w="0" w:type="auto"/>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iCs/>
                <w:kern w:val="0"/>
                <w:sz w:val="20"/>
                <w:szCs w:val="20"/>
              </w:rPr>
            </w:pPr>
          </w:p>
        </w:tc>
        <w:tc>
          <w:tcPr>
            <w:tcW w:w="152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制度执行有效性</w:t>
            </w:r>
          </w:p>
        </w:tc>
        <w:tc>
          <w:tcPr>
            <w:tcW w:w="581"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10</w:t>
            </w:r>
          </w:p>
        </w:tc>
        <w:tc>
          <w:tcPr>
            <w:tcW w:w="666"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hint="eastAsia" w:ascii="宋体" w:hAnsi="宋体" w:eastAsia="宋体" w:cs="Arial"/>
                <w:bCs/>
                <w:iCs/>
                <w:kern w:val="0"/>
                <w:sz w:val="20"/>
                <w:szCs w:val="20"/>
              </w:rPr>
            </w:pPr>
            <w:r>
              <w:rPr>
                <w:rFonts w:hint="eastAsia" w:ascii="宋体" w:hAnsi="宋体" w:eastAsia="宋体" w:cs="Arial"/>
                <w:bCs/>
                <w:iCs/>
                <w:kern w:val="0"/>
                <w:sz w:val="20"/>
                <w:szCs w:val="20"/>
              </w:rPr>
              <w:t>8.80</w:t>
            </w:r>
          </w:p>
        </w:tc>
        <w:tc>
          <w:tcPr>
            <w:tcW w:w="66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Cs/>
                <w:iCs/>
                <w:kern w:val="0"/>
                <w:sz w:val="20"/>
                <w:szCs w:val="20"/>
              </w:rPr>
            </w:pPr>
            <w:r>
              <w:rPr>
                <w:rFonts w:hint="eastAsia" w:ascii="宋体" w:hAnsi="宋体" w:eastAsia="宋体" w:cs="Arial"/>
                <w:bCs/>
                <w:iCs/>
                <w:kern w:val="0"/>
                <w:sz w:val="20"/>
                <w:szCs w:val="20"/>
              </w:rPr>
              <w:t>88.00%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3087" w:type="pct"/>
            <w:gridSpan w:val="3"/>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cs="Arial"/>
                <w:b/>
                <w:bCs/>
                <w:iCs/>
                <w:kern w:val="0"/>
                <w:sz w:val="20"/>
                <w:szCs w:val="20"/>
              </w:rPr>
              <w:t>合计</w:t>
            </w:r>
          </w:p>
        </w:tc>
        <w:tc>
          <w:tcPr>
            <w:tcW w:w="581"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cs="Arial"/>
                <w:b/>
                <w:bCs/>
                <w:iCs/>
                <w:kern w:val="0"/>
                <w:sz w:val="20"/>
                <w:szCs w:val="20"/>
              </w:rPr>
              <w:t>20</w:t>
            </w:r>
          </w:p>
        </w:tc>
        <w:tc>
          <w:tcPr>
            <w:tcW w:w="666"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cs="Arial"/>
                <w:b/>
                <w:bCs/>
                <w:iCs/>
                <w:kern w:val="0"/>
                <w:sz w:val="20"/>
                <w:szCs w:val="20"/>
              </w:rPr>
              <w:t>18.00</w:t>
            </w:r>
          </w:p>
        </w:tc>
        <w:tc>
          <w:tcPr>
            <w:tcW w:w="66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90.00%</w:t>
            </w:r>
          </w:p>
        </w:tc>
      </w:tr>
    </w:tbl>
    <w:p>
      <w:pPr>
        <w:spacing w:line="560" w:lineRule="exact"/>
        <w:ind w:firstLine="640" w:firstLineChars="200"/>
        <w:rPr>
          <w:rFonts w:ascii="仿宋_GB2312" w:eastAsia="仿宋_GB2312"/>
          <w:iCs/>
          <w:sz w:val="32"/>
          <w:szCs w:val="32"/>
        </w:rPr>
      </w:pPr>
    </w:p>
    <w:bookmarkEnd w:id="38"/>
    <w:p>
      <w:pPr>
        <w:adjustRightInd w:val="0"/>
        <w:snapToGrid w:val="0"/>
        <w:spacing w:line="560" w:lineRule="exact"/>
        <w:ind w:firstLine="640" w:firstLineChars="200"/>
        <w:outlineLvl w:val="2"/>
        <w:rPr>
          <w:rFonts w:ascii="仿宋_GB2312" w:eastAsia="仿宋_GB2312"/>
          <w:sz w:val="32"/>
          <w:szCs w:val="32"/>
        </w:rPr>
      </w:pPr>
      <w:bookmarkStart w:id="39" w:name="_Hlk130046884"/>
      <w:r>
        <w:rPr>
          <w:rFonts w:ascii="仿宋_GB2312" w:eastAsia="仿宋_GB2312"/>
          <w:sz w:val="32"/>
          <w:szCs w:val="32"/>
        </w:rPr>
        <w:t>1.资金管理</w:t>
      </w:r>
    </w:p>
    <w:p>
      <w:pPr>
        <w:adjustRightInd w:val="0"/>
        <w:snapToGrid w:val="0"/>
        <w:spacing w:line="560" w:lineRule="exact"/>
        <w:ind w:firstLine="640" w:firstLineChars="200"/>
        <w:rPr>
          <w:rFonts w:ascii="仿宋_GB2312" w:hAnsi="宋体" w:eastAsia="仿宋_GB2312" w:cs="宋体"/>
          <w:iCs/>
          <w:kern w:val="0"/>
          <w:sz w:val="32"/>
          <w:szCs w:val="32"/>
        </w:rPr>
      </w:pPr>
      <w:r>
        <w:rPr>
          <w:rFonts w:hint="eastAsia" w:ascii="仿宋_GB2312" w:hAnsi="宋体" w:eastAsia="仿宋_GB2312" w:cs="宋体"/>
          <w:iCs/>
          <w:kern w:val="0"/>
          <w:sz w:val="32"/>
          <w:szCs w:val="32"/>
        </w:rPr>
        <w:t>（</w:t>
      </w:r>
      <w:r>
        <w:rPr>
          <w:rFonts w:ascii="仿宋_GB2312" w:hAnsi="宋体" w:eastAsia="仿宋_GB2312" w:cs="宋体"/>
          <w:iCs/>
          <w:kern w:val="0"/>
          <w:sz w:val="32"/>
          <w:szCs w:val="32"/>
        </w:rPr>
        <w:t>1）资金到位率、预算执行率</w:t>
      </w:r>
    </w:p>
    <w:p>
      <w:pPr>
        <w:adjustRightInd w:val="0"/>
        <w:snapToGrid w:val="0"/>
        <w:spacing w:line="560" w:lineRule="exact"/>
        <w:ind w:firstLine="640" w:firstLineChars="200"/>
        <w:rPr>
          <w:rFonts w:ascii="仿宋_GB2312" w:eastAsia="仿宋_GB2312"/>
          <w:sz w:val="32"/>
          <w:szCs w:val="32"/>
        </w:rPr>
      </w:pPr>
      <w:r>
        <w:rPr>
          <w:rFonts w:hint="eastAsia" w:ascii="仿宋_GB2312" w:hAnsi="宋体" w:eastAsia="仿宋_GB2312" w:cs="宋体"/>
          <w:iCs/>
          <w:kern w:val="0"/>
          <w:sz w:val="32"/>
          <w:szCs w:val="32"/>
        </w:rPr>
        <w:t>2023年度，</w:t>
      </w:r>
      <w:r>
        <w:rPr>
          <w:rFonts w:hint="eastAsia" w:ascii="仿宋_GB2312" w:eastAsia="仿宋_GB2312"/>
          <w:kern w:val="0"/>
          <w:sz w:val="32"/>
          <w:szCs w:val="32"/>
        </w:rPr>
        <w:t>该项目年初预算批复总额为</w:t>
      </w:r>
      <w:r>
        <w:rPr>
          <w:rFonts w:hint="eastAsia" w:ascii="仿宋_GB2312" w:hAnsi="宋体" w:eastAsia="仿宋_GB2312" w:cs="宋体"/>
          <w:iCs/>
          <w:kern w:val="0"/>
          <w:sz w:val="32"/>
          <w:szCs w:val="32"/>
        </w:rPr>
        <w:t>224.70</w:t>
      </w:r>
      <w:r>
        <w:rPr>
          <w:rFonts w:hint="eastAsia" w:ascii="仿宋_GB2312" w:eastAsia="仿宋_GB2312"/>
          <w:kern w:val="0"/>
          <w:sz w:val="32"/>
          <w:szCs w:val="32"/>
        </w:rPr>
        <w:t>万元，均为当年财政拨款，年中无预算调整。根据《北京市财政局关于批复北京市政务服务管理局2023年预算的函》（京财党政群指〔2023〕54号），项目资金于</w:t>
      </w:r>
      <w:r>
        <w:rPr>
          <w:rFonts w:hint="eastAsia" w:ascii="仿宋_GB2312" w:hAnsi="宋体" w:eastAsia="仿宋_GB2312" w:cs="宋体"/>
          <w:iCs/>
          <w:kern w:val="0"/>
          <w:sz w:val="32"/>
          <w:szCs w:val="32"/>
        </w:rPr>
        <w:t>2023</w:t>
      </w:r>
      <w:r>
        <w:rPr>
          <w:rFonts w:hint="eastAsia" w:ascii="仿宋_GB2312" w:eastAsia="仿宋_GB2312"/>
          <w:kern w:val="0"/>
          <w:sz w:val="32"/>
          <w:szCs w:val="32"/>
        </w:rPr>
        <w:t>年</w:t>
      </w:r>
      <w:r>
        <w:rPr>
          <w:rFonts w:hint="eastAsia" w:ascii="仿宋_GB2312" w:hAnsi="宋体" w:eastAsia="仿宋_GB2312" w:cs="宋体"/>
          <w:iCs/>
          <w:kern w:val="0"/>
          <w:sz w:val="32"/>
          <w:szCs w:val="32"/>
        </w:rPr>
        <w:t>2</w:t>
      </w:r>
      <w:r>
        <w:rPr>
          <w:rFonts w:hint="eastAsia" w:ascii="仿宋_GB2312" w:eastAsia="仿宋_GB2312"/>
          <w:kern w:val="0"/>
          <w:sz w:val="32"/>
          <w:szCs w:val="32"/>
        </w:rPr>
        <w:t>月以部门预算的形式批复，资金到位及时，资金到位率为</w:t>
      </w:r>
      <w:r>
        <w:rPr>
          <w:rFonts w:hint="eastAsia" w:ascii="仿宋_GB2312" w:eastAsia="仿宋_GB2312"/>
          <w:sz w:val="32"/>
          <w:szCs w:val="32"/>
        </w:rPr>
        <w:t>100.00%，能够保证项目顺利开展。2023年8月、12月，项目分别支付资金209.00万元、</w:t>
      </w:r>
      <w:r>
        <w:rPr>
          <w:rFonts w:hint="eastAsia" w:ascii="仿宋_GB2312" w:eastAsia="仿宋_GB2312"/>
          <w:iCs/>
          <w:sz w:val="32"/>
          <w:szCs w:val="32"/>
        </w:rPr>
        <w:t>15.70</w:t>
      </w:r>
      <w:r>
        <w:rPr>
          <w:rFonts w:hint="eastAsia" w:ascii="仿宋_GB2312" w:eastAsia="仿宋_GB2312"/>
          <w:sz w:val="32"/>
          <w:szCs w:val="32"/>
        </w:rPr>
        <w:t>万元</w:t>
      </w:r>
      <w:r>
        <w:rPr>
          <w:rFonts w:hint="eastAsia" w:ascii="仿宋_GB2312" w:eastAsia="仿宋_GB2312"/>
          <w:iCs/>
          <w:sz w:val="32"/>
          <w:szCs w:val="32"/>
        </w:rPr>
        <w:t>，截至2023年12月底，预算资金全部执行完毕</w:t>
      </w:r>
      <w:r>
        <w:rPr>
          <w:rFonts w:hint="eastAsia" w:ascii="仿宋_GB2312" w:eastAsia="仿宋_GB2312"/>
          <w:sz w:val="32"/>
          <w:szCs w:val="32"/>
        </w:rPr>
        <w:t>，预算执行率为100</w:t>
      </w:r>
      <w:r>
        <w:rPr>
          <w:rFonts w:hint="eastAsia" w:ascii="仿宋_GB2312" w:hAnsi="宋体" w:eastAsia="仿宋_GB2312" w:cs="宋体"/>
          <w:kern w:val="0"/>
          <w:sz w:val="32"/>
          <w:szCs w:val="32"/>
        </w:rPr>
        <w:t>.00</w:t>
      </w:r>
      <w:r>
        <w:rPr>
          <w:rFonts w:hint="eastAsia" w:ascii="仿宋_GB2312" w:eastAsia="仿宋_GB2312"/>
          <w:sz w:val="32"/>
          <w:szCs w:val="32"/>
        </w:rPr>
        <w:t>%。</w:t>
      </w:r>
    </w:p>
    <w:p>
      <w:pPr>
        <w:adjustRightInd w:val="0"/>
        <w:snapToGrid w:val="0"/>
        <w:spacing w:line="560" w:lineRule="exact"/>
        <w:ind w:firstLine="640" w:firstLineChars="200"/>
        <w:rPr>
          <w:rFonts w:ascii="仿宋_GB2312" w:hAnsi="宋体" w:eastAsia="仿宋_GB2312" w:cs="宋体"/>
          <w:kern w:val="0"/>
          <w:sz w:val="32"/>
          <w:szCs w:val="32"/>
        </w:rPr>
      </w:pPr>
      <w:r>
        <w:rPr>
          <w:rFonts w:hint="eastAsia" w:ascii="仿宋_GB2312" w:hAnsi="宋体" w:eastAsia="仿宋_GB2312" w:cs="宋体"/>
          <w:kern w:val="0"/>
          <w:sz w:val="32"/>
          <w:szCs w:val="32"/>
        </w:rPr>
        <w:t>（</w:t>
      </w:r>
      <w:r>
        <w:rPr>
          <w:rFonts w:ascii="仿宋_GB2312" w:hAnsi="宋体" w:eastAsia="仿宋_GB2312" w:cs="宋体"/>
          <w:kern w:val="0"/>
          <w:sz w:val="32"/>
          <w:szCs w:val="32"/>
        </w:rPr>
        <w:t>2）资金使用合规性</w:t>
      </w:r>
    </w:p>
    <w:bookmarkEnd w:id="39"/>
    <w:p>
      <w:pPr>
        <w:autoSpaceDE w:val="0"/>
        <w:autoSpaceDN w:val="0"/>
        <w:adjustRightInd w:val="0"/>
        <w:snapToGrid w:val="0"/>
        <w:spacing w:line="560" w:lineRule="exact"/>
        <w:ind w:firstLine="640" w:firstLineChars="200"/>
        <w:rPr>
          <w:rFonts w:ascii="仿宋_GB2312" w:eastAsia="仿宋_GB2312"/>
          <w:iCs/>
          <w:sz w:val="32"/>
          <w:szCs w:val="32"/>
        </w:rPr>
      </w:pPr>
      <w:bookmarkStart w:id="40" w:name="_Hlk130052991"/>
      <w:r>
        <w:rPr>
          <w:rFonts w:hint="eastAsia" w:ascii="仿宋_GB2312" w:eastAsia="仿宋_GB2312"/>
          <w:iCs/>
          <w:sz w:val="32"/>
          <w:szCs w:val="32"/>
        </w:rPr>
        <w:t>市政务服务局财务处根据部门财务管理制度、采购管理规定等进行资金使用和财务管控。项目资金单独核算、专款专用，使用财政一体化系统与U8财务软件双记账。资金使用符合预算批复及合同规定的用途，资金拨付符合合同约定的时间及进度，由财务处提出资金拨付申请、经党组会审议通过、报局领导审批后予以拨付，资金使用、拨付具有完整的审批程序和手续，发票、报销单、银行回单、合同、采购文件等原始凭证及附件真实、规范、完整，项目资金使用合法合规。</w:t>
      </w:r>
    </w:p>
    <w:p>
      <w:pPr>
        <w:autoSpaceDE w:val="0"/>
        <w:autoSpaceDN w:val="0"/>
        <w:adjustRightInd w:val="0"/>
        <w:snapToGrid w:val="0"/>
        <w:spacing w:line="560" w:lineRule="exact"/>
        <w:ind w:firstLine="640" w:firstLineChars="200"/>
        <w:outlineLvl w:val="2"/>
        <w:rPr>
          <w:rFonts w:ascii="仿宋_GB2312" w:hAnsi="宋体" w:eastAsia="仿宋_GB2312" w:cs="宋体"/>
          <w:iCs/>
          <w:color w:val="000000"/>
          <w:kern w:val="0"/>
          <w:sz w:val="32"/>
          <w:szCs w:val="32"/>
        </w:rPr>
      </w:pPr>
      <w:r>
        <w:rPr>
          <w:rFonts w:hint="eastAsia" w:ascii="仿宋_GB2312" w:hAnsi="宋体" w:eastAsia="仿宋_GB2312" w:cs="宋体"/>
          <w:iCs/>
          <w:color w:val="000000"/>
          <w:kern w:val="0"/>
          <w:sz w:val="32"/>
          <w:szCs w:val="32"/>
        </w:rPr>
        <w:t>2.组织实施</w:t>
      </w:r>
    </w:p>
    <w:p>
      <w:pPr>
        <w:adjustRightInd w:val="0"/>
        <w:snapToGrid w:val="0"/>
        <w:spacing w:line="560" w:lineRule="exact"/>
        <w:ind w:firstLine="640" w:firstLineChars="200"/>
        <w:rPr>
          <w:rFonts w:ascii="仿宋_GB2312" w:hAnsi="宋体" w:eastAsia="仿宋_GB2312" w:cs="宋体"/>
          <w:iCs/>
          <w:kern w:val="0"/>
          <w:sz w:val="32"/>
          <w:szCs w:val="32"/>
        </w:rPr>
      </w:pPr>
      <w:r>
        <w:rPr>
          <w:rFonts w:hint="eastAsia" w:ascii="仿宋_GB2312" w:hAnsi="宋体" w:eastAsia="仿宋_GB2312" w:cs="宋体"/>
          <w:iCs/>
          <w:kern w:val="0"/>
          <w:sz w:val="32"/>
          <w:szCs w:val="32"/>
        </w:rPr>
        <w:t>（1）管理制度健全性</w:t>
      </w:r>
    </w:p>
    <w:p>
      <w:pPr>
        <w:adjustRightInd w:val="0"/>
        <w:snapToGrid w:val="0"/>
        <w:spacing w:line="560" w:lineRule="exact"/>
        <w:ind w:firstLine="640" w:firstLineChars="200"/>
        <w:rPr>
          <w:rFonts w:ascii="仿宋_GB2312" w:hAnsi="宋体" w:eastAsia="仿宋_GB2312" w:cs="宋体"/>
          <w:bCs/>
          <w:kern w:val="0"/>
          <w:sz w:val="32"/>
          <w:szCs w:val="32"/>
        </w:rPr>
      </w:pPr>
      <w:r>
        <w:rPr>
          <w:rFonts w:hint="eastAsia" w:ascii="仿宋_GB2312" w:hAnsi="宋体" w:eastAsia="仿宋_GB2312" w:cs="宋体"/>
          <w:bCs/>
          <w:kern w:val="0"/>
          <w:sz w:val="32"/>
          <w:szCs w:val="32"/>
        </w:rPr>
        <w:t>市政务服务局制定了包括预算管理、财务管理、支出管理、采购管理、运行保障管理等比较完善的内控管理制度，包括《北京市政务服务管理局预算管理办法》《北京市政务服务管理局会计档案管理办法（试行）》《北京市政务服务管理局资金支出管理办法》《北京市政务服务管理局合同管理办法》《北京市政务服务管理局项目采购管理规定》等，从预算申报、采购管理、合同签订、资金支出等各方面进行细致规定。针对具体购买服务内容也有明确的业务管理制度，如，《北京市政务服务管理局内部控制风险评估管理办法》《北京市政务服务管理局内部控制自我评价管理办法》《北京市政务服务管理局预算绩效管理办法（试行）》等。整体上，项目相关的财务及业务管理制度比较健全。但是，</w:t>
      </w:r>
      <w:r>
        <w:rPr>
          <w:rFonts w:hint="eastAsia" w:ascii="仿宋_GB2312" w:hAnsi="宋体" w:eastAsia="仿宋_GB2312" w:cs="宋体"/>
          <w:bCs/>
          <w:caps w:val="0"/>
          <w:kern w:val="0"/>
          <w:sz w:val="32"/>
          <w:szCs w:val="32"/>
        </w:rPr>
        <w:t>作为延续性项目，项目管理过程中</w:t>
      </w:r>
      <w:r>
        <w:rPr>
          <w:rFonts w:hint="eastAsia" w:ascii="仿宋_GB2312" w:hAnsi="宋体" w:eastAsia="仿宋_GB2312" w:cs="宋体"/>
          <w:bCs/>
          <w:caps w:val="0"/>
          <w:kern w:val="0"/>
          <w:sz w:val="32"/>
          <w:szCs w:val="32"/>
          <w:lang w:eastAsia="zh-CN"/>
        </w:rPr>
        <w:t>对</w:t>
      </w:r>
      <w:r>
        <w:rPr>
          <w:rFonts w:hint="eastAsia" w:ascii="仿宋_GB2312" w:hAnsi="宋体" w:eastAsia="仿宋_GB2312" w:cs="宋体"/>
          <w:bCs/>
          <w:caps w:val="0"/>
          <w:kern w:val="0"/>
          <w:sz w:val="32"/>
          <w:szCs w:val="32"/>
        </w:rPr>
        <w:t>管理经验的提炼与归纳</w:t>
      </w:r>
      <w:r>
        <w:rPr>
          <w:rFonts w:hint="eastAsia" w:ascii="仿宋_GB2312" w:hAnsi="宋体" w:eastAsia="仿宋_GB2312" w:cs="宋体"/>
          <w:bCs/>
          <w:kern w:val="0"/>
          <w:sz w:val="32"/>
          <w:szCs w:val="32"/>
        </w:rPr>
        <w:t>有待进一步提升。</w:t>
      </w:r>
    </w:p>
    <w:p>
      <w:pPr>
        <w:adjustRightInd w:val="0"/>
        <w:snapToGrid w:val="0"/>
        <w:spacing w:line="560" w:lineRule="exact"/>
        <w:ind w:firstLine="640" w:firstLineChars="200"/>
        <w:rPr>
          <w:rFonts w:ascii="仿宋_GB2312" w:hAnsi="宋体" w:eastAsia="仿宋_GB2312" w:cs="宋体"/>
          <w:kern w:val="0"/>
          <w:sz w:val="32"/>
          <w:szCs w:val="32"/>
        </w:rPr>
      </w:pPr>
      <w:r>
        <w:rPr>
          <w:rFonts w:hint="eastAsia" w:ascii="仿宋_GB2312" w:hAnsi="宋体" w:eastAsia="仿宋_GB2312" w:cs="宋体"/>
          <w:kern w:val="0"/>
          <w:sz w:val="32"/>
          <w:szCs w:val="32"/>
        </w:rPr>
        <w:t>（2）制度执行有效性</w:t>
      </w:r>
    </w:p>
    <w:p>
      <w:pPr>
        <w:adjustRightInd w:val="0"/>
        <w:snapToGrid w:val="0"/>
        <w:spacing w:line="560" w:lineRule="exact"/>
        <w:ind w:firstLine="640" w:firstLineChars="200"/>
        <w:rPr>
          <w:rFonts w:ascii="仿宋_GB2312" w:hAnsi="Times New Roman" w:eastAsia="仿宋_GB2312" w:cs="仿宋_GB2312"/>
          <w:sz w:val="32"/>
          <w:szCs w:val="24"/>
        </w:rPr>
      </w:pPr>
      <w:r>
        <w:rPr>
          <w:rFonts w:hint="eastAsia" w:ascii="仿宋_GB2312" w:hAnsi="Times New Roman" w:eastAsia="仿宋_GB2312"/>
          <w:sz w:val="32"/>
          <w:szCs w:val="32"/>
        </w:rPr>
        <w:t>该项目各项工作开展整体上按照市政务服务局相关业务及财务管理规定执行，项目主要通过政府采购竞争性磋商方式组织采购，</w:t>
      </w:r>
      <w:r>
        <w:rPr>
          <w:rFonts w:hint="eastAsia" w:ascii="仿宋_GB2312" w:hAnsi="Times New Roman" w:eastAsia="仿宋_GB2312" w:cs="仿宋_GB2312"/>
          <w:sz w:val="32"/>
          <w:szCs w:val="24"/>
        </w:rPr>
        <w:t>采购程序合法合规，服务承接主体均为社会组织，</w:t>
      </w:r>
      <w:r>
        <w:rPr>
          <w:rFonts w:hint="eastAsia" w:ascii="仿宋_GB2312" w:hAnsi="Times New Roman" w:eastAsia="仿宋_GB2312"/>
          <w:sz w:val="32"/>
          <w:szCs w:val="32"/>
        </w:rPr>
        <w:t>项目采购过程材料、项目合同书、验收单等资料较为齐全。</w:t>
      </w:r>
      <w:r>
        <w:rPr>
          <w:rFonts w:hint="eastAsia" w:ascii="仿宋_GB2312" w:hAnsi="Times New Roman" w:eastAsia="仿宋_GB2312" w:cs="仿宋_GB2312"/>
          <w:sz w:val="32"/>
          <w:szCs w:val="24"/>
        </w:rPr>
        <w:t>服务合同中针对服务内容、期限、数量、质量、价格、资金结算方式、双方权利义务和违约责任等内容进行了明确规定。市政务服务局财务处作为购买主体，通过组织培训、要求服务单位定期汇报进展、针对部分工作开展现场调研、召开专家评价会、结果汇报座谈会等方式，履行了对所购买服务实施过程的监督管理责任；服务期结束后，财务处组织验收，比较合同约定的内容、进度及第三方服务商提交的成果资料，确定是否通过验收，能够有效保障工作开展质量。但项目制度执行仍有进一步提升空间，主要体现在验收成果资料完备性方面，如：</w:t>
      </w:r>
      <w:r>
        <w:rPr>
          <w:rFonts w:hint="eastAsia" w:ascii="仿宋_GB2312" w:hAnsi="Times New Roman" w:eastAsia="仿宋_GB2312"/>
          <w:sz w:val="32"/>
          <w:szCs w:val="32"/>
        </w:rPr>
        <w:t>财务会计业务规范提升服务子项在履行验收程序时，对完成工作的成果清单细化不足。</w:t>
      </w:r>
    </w:p>
    <w:bookmarkEnd w:id="36"/>
    <w:bookmarkEnd w:id="37"/>
    <w:bookmarkEnd w:id="40"/>
    <w:p>
      <w:pPr>
        <w:autoSpaceDE w:val="0"/>
        <w:autoSpaceDN w:val="0"/>
        <w:adjustRightInd w:val="0"/>
        <w:snapToGrid w:val="0"/>
        <w:spacing w:line="560" w:lineRule="exact"/>
        <w:ind w:firstLine="640" w:firstLineChars="200"/>
        <w:outlineLvl w:val="1"/>
        <w:rPr>
          <w:rFonts w:ascii="楷体_GB2312" w:hAnsi="宋体" w:eastAsia="楷体_GB2312" w:cs="宋体"/>
          <w:color w:val="000000"/>
          <w:kern w:val="0"/>
          <w:sz w:val="32"/>
          <w:szCs w:val="32"/>
        </w:rPr>
      </w:pPr>
      <w:bookmarkStart w:id="41" w:name="_Toc167139777"/>
      <w:r>
        <w:rPr>
          <w:rFonts w:hint="eastAsia" w:ascii="楷体_GB2312" w:hAnsi="宋体" w:eastAsia="楷体_GB2312" w:cs="宋体"/>
          <w:color w:val="000000"/>
          <w:kern w:val="0"/>
          <w:sz w:val="32"/>
          <w:szCs w:val="32"/>
        </w:rPr>
        <w:t>（三）项目产出情况</w:t>
      </w:r>
      <w:bookmarkEnd w:id="41"/>
    </w:p>
    <w:p>
      <w:pPr>
        <w:adjustRightInd w:val="0"/>
        <w:snapToGrid w:val="0"/>
        <w:spacing w:line="560" w:lineRule="exact"/>
        <w:ind w:firstLine="640" w:firstLineChars="200"/>
        <w:rPr>
          <w:rFonts w:ascii="仿宋_GB2312" w:hAnsi="等线" w:eastAsia="仿宋_GB2312"/>
          <w:iCs/>
          <w:sz w:val="32"/>
          <w:szCs w:val="32"/>
        </w:rPr>
      </w:pPr>
      <w:bookmarkStart w:id="42" w:name="_Hlk130045650"/>
      <w:r>
        <w:rPr>
          <w:rFonts w:hint="eastAsia" w:ascii="仿宋_GB2312" w:eastAsia="仿宋_GB2312"/>
          <w:iCs/>
          <w:sz w:val="32"/>
          <w:szCs w:val="32"/>
        </w:rPr>
        <w:t>2023年度财务综合服务项目的各项既定工作均已按照计划节点、保质保量完成，共包含六个子项，分别是财务会计业务规范提升服务、内部审计服务、内部控制管理服务、预算评审项目、预算绩效管理、财务软件信息管理系统运维服务。项目开展过程中制定了相应的成本控制措施，且成本控制有效。该指标分值30分，得分30.00分，得分率100.00%。具体得分情况见表7。</w:t>
      </w:r>
    </w:p>
    <w:p>
      <w:pPr>
        <w:adjustRightInd w:val="0"/>
        <w:snapToGrid w:val="0"/>
        <w:spacing w:line="360" w:lineRule="auto"/>
        <w:jc w:val="center"/>
        <w:rPr>
          <w:rFonts w:ascii="仿宋_GB2312" w:eastAsia="仿宋_GB2312"/>
          <w:iCs/>
          <w:sz w:val="32"/>
          <w:szCs w:val="32"/>
        </w:rPr>
      </w:pPr>
      <w:r>
        <w:rPr>
          <w:rFonts w:hint="eastAsia" w:ascii="黑体" w:hAnsi="黑体" w:eastAsia="黑体"/>
          <w:iCs/>
          <w:sz w:val="28"/>
          <w:szCs w:val="28"/>
        </w:rPr>
        <w:t>表7：产出指标设定及评分情况表</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1174"/>
        <w:gridCol w:w="1542"/>
        <w:gridCol w:w="2505"/>
        <w:gridCol w:w="952"/>
        <w:gridCol w:w="1095"/>
        <w:gridCol w:w="10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702"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一级指标</w:t>
            </w:r>
          </w:p>
        </w:tc>
        <w:tc>
          <w:tcPr>
            <w:tcW w:w="922"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二级指标</w:t>
            </w:r>
          </w:p>
        </w:tc>
        <w:tc>
          <w:tcPr>
            <w:tcW w:w="1498"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三级指标</w:t>
            </w:r>
          </w:p>
        </w:tc>
        <w:tc>
          <w:tcPr>
            <w:tcW w:w="569"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分值</w:t>
            </w:r>
          </w:p>
        </w:tc>
        <w:tc>
          <w:tcPr>
            <w:tcW w:w="655"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得分</w:t>
            </w:r>
          </w:p>
        </w:tc>
        <w:tc>
          <w:tcPr>
            <w:tcW w:w="65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702" w:type="pct"/>
            <w:vMerge w:val="restart"/>
            <w:tcBorders>
              <w:top w:val="nil"/>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产出</w:t>
            </w:r>
          </w:p>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（30分）</w:t>
            </w:r>
          </w:p>
        </w:tc>
        <w:tc>
          <w:tcPr>
            <w:tcW w:w="922"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产出数量</w:t>
            </w:r>
          </w:p>
        </w:tc>
        <w:tc>
          <w:tcPr>
            <w:tcW w:w="1498"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kern w:val="0"/>
                <w:sz w:val="20"/>
                <w:szCs w:val="20"/>
              </w:rPr>
              <w:t>实际完成率</w:t>
            </w:r>
          </w:p>
        </w:tc>
        <w:tc>
          <w:tcPr>
            <w:tcW w:w="569"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color w:val="000000"/>
                <w:kern w:val="0"/>
                <w:sz w:val="20"/>
                <w:szCs w:val="20"/>
              </w:rPr>
              <w:t>10</w:t>
            </w:r>
          </w:p>
        </w:tc>
        <w:tc>
          <w:tcPr>
            <w:tcW w:w="655"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iCs/>
                <w:kern w:val="0"/>
                <w:sz w:val="20"/>
                <w:szCs w:val="20"/>
              </w:rPr>
              <w:t>10.00</w:t>
            </w:r>
          </w:p>
        </w:tc>
        <w:tc>
          <w:tcPr>
            <w:tcW w:w="654"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iCs/>
                <w:kern w:val="0"/>
                <w:sz w:val="20"/>
                <w:szCs w:val="20"/>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iCs/>
                <w:kern w:val="0"/>
                <w:sz w:val="20"/>
                <w:szCs w:val="20"/>
              </w:rPr>
            </w:pPr>
          </w:p>
        </w:tc>
        <w:tc>
          <w:tcPr>
            <w:tcW w:w="922"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产出质量</w:t>
            </w:r>
          </w:p>
        </w:tc>
        <w:tc>
          <w:tcPr>
            <w:tcW w:w="1498"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质量达标率</w:t>
            </w:r>
          </w:p>
        </w:tc>
        <w:tc>
          <w:tcPr>
            <w:tcW w:w="569"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color w:val="000000"/>
                <w:kern w:val="0"/>
                <w:sz w:val="20"/>
                <w:szCs w:val="20"/>
              </w:rPr>
              <w:t>10</w:t>
            </w:r>
          </w:p>
        </w:tc>
        <w:tc>
          <w:tcPr>
            <w:tcW w:w="655"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iCs/>
                <w:kern w:val="0"/>
                <w:sz w:val="20"/>
                <w:szCs w:val="20"/>
              </w:rPr>
              <w:t>10.00</w:t>
            </w:r>
          </w:p>
        </w:tc>
        <w:tc>
          <w:tcPr>
            <w:tcW w:w="654"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iCs/>
                <w:kern w:val="0"/>
                <w:sz w:val="20"/>
                <w:szCs w:val="20"/>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iCs/>
                <w:kern w:val="0"/>
                <w:sz w:val="20"/>
                <w:szCs w:val="20"/>
              </w:rPr>
            </w:pPr>
          </w:p>
        </w:tc>
        <w:tc>
          <w:tcPr>
            <w:tcW w:w="922"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产出时效</w:t>
            </w:r>
          </w:p>
        </w:tc>
        <w:tc>
          <w:tcPr>
            <w:tcW w:w="1498"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完成及时性</w:t>
            </w:r>
          </w:p>
        </w:tc>
        <w:tc>
          <w:tcPr>
            <w:tcW w:w="569"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color w:val="000000"/>
                <w:kern w:val="0"/>
                <w:sz w:val="20"/>
                <w:szCs w:val="20"/>
              </w:rPr>
              <w:t>5</w:t>
            </w:r>
          </w:p>
        </w:tc>
        <w:tc>
          <w:tcPr>
            <w:tcW w:w="655"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iCs/>
                <w:kern w:val="0"/>
                <w:sz w:val="20"/>
                <w:szCs w:val="20"/>
              </w:rPr>
              <w:t>5.00</w:t>
            </w:r>
          </w:p>
        </w:tc>
        <w:tc>
          <w:tcPr>
            <w:tcW w:w="654"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iCs/>
                <w:kern w:val="0"/>
                <w:sz w:val="20"/>
                <w:szCs w:val="20"/>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0" w:type="auto"/>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iCs/>
                <w:kern w:val="0"/>
                <w:sz w:val="20"/>
                <w:szCs w:val="20"/>
              </w:rPr>
            </w:pPr>
          </w:p>
        </w:tc>
        <w:tc>
          <w:tcPr>
            <w:tcW w:w="922"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产出成本</w:t>
            </w:r>
          </w:p>
        </w:tc>
        <w:tc>
          <w:tcPr>
            <w:tcW w:w="1498"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iCs/>
                <w:kern w:val="0"/>
                <w:sz w:val="20"/>
                <w:szCs w:val="20"/>
              </w:rPr>
            </w:pPr>
            <w:r>
              <w:rPr>
                <w:rFonts w:hint="eastAsia" w:ascii="宋体" w:hAnsi="宋体" w:eastAsia="宋体"/>
                <w:iCs/>
                <w:kern w:val="0"/>
                <w:sz w:val="20"/>
                <w:szCs w:val="20"/>
              </w:rPr>
              <w:t>成本节约情况</w:t>
            </w:r>
          </w:p>
        </w:tc>
        <w:tc>
          <w:tcPr>
            <w:tcW w:w="569"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color w:val="000000"/>
                <w:kern w:val="0"/>
                <w:sz w:val="20"/>
                <w:szCs w:val="20"/>
              </w:rPr>
              <w:t>5</w:t>
            </w:r>
          </w:p>
        </w:tc>
        <w:tc>
          <w:tcPr>
            <w:tcW w:w="655"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iCs/>
                <w:kern w:val="0"/>
                <w:sz w:val="20"/>
                <w:szCs w:val="20"/>
              </w:rPr>
              <w:t>5.00</w:t>
            </w:r>
          </w:p>
        </w:tc>
        <w:tc>
          <w:tcPr>
            <w:tcW w:w="654"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iCs/>
                <w:kern w:val="0"/>
                <w:sz w:val="20"/>
                <w:szCs w:val="20"/>
              </w:rPr>
            </w:pPr>
            <w:r>
              <w:rPr>
                <w:rFonts w:hint="eastAsia" w:ascii="宋体" w:hAnsi="宋体" w:eastAsia="宋体"/>
                <w:iCs/>
                <w:kern w:val="0"/>
                <w:sz w:val="20"/>
                <w:szCs w:val="20"/>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3122" w:type="pct"/>
            <w:gridSpan w:val="3"/>
            <w:tcBorders>
              <w:top w:val="single" w:color="auto" w:sz="4" w:space="0"/>
              <w:left w:val="single" w:color="auto" w:sz="4" w:space="0"/>
              <w:bottom w:val="single" w:color="auto" w:sz="4" w:space="0"/>
              <w:right w:val="single" w:color="auto" w:sz="4" w:space="0"/>
            </w:tcBorders>
            <w:vAlign w:val="center"/>
          </w:tcPr>
          <w:p>
            <w:pPr>
              <w:widowControl/>
              <w:adjustRightInd w:val="0"/>
              <w:snapToGrid w:val="0"/>
              <w:jc w:val="center"/>
              <w:rPr>
                <w:rFonts w:ascii="宋体" w:hAnsi="宋体" w:eastAsia="宋体"/>
                <w:b/>
                <w:bCs/>
                <w:iCs/>
                <w:kern w:val="0"/>
                <w:sz w:val="20"/>
                <w:szCs w:val="20"/>
              </w:rPr>
            </w:pPr>
            <w:r>
              <w:rPr>
                <w:rFonts w:hint="eastAsia" w:ascii="宋体" w:hAnsi="宋体" w:eastAsia="宋体"/>
                <w:b/>
                <w:bCs/>
                <w:iCs/>
                <w:kern w:val="0"/>
                <w:sz w:val="20"/>
                <w:szCs w:val="20"/>
              </w:rPr>
              <w:t>合计</w:t>
            </w:r>
          </w:p>
        </w:tc>
        <w:tc>
          <w:tcPr>
            <w:tcW w:w="569"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b/>
                <w:bCs/>
                <w:iCs/>
                <w:kern w:val="0"/>
                <w:sz w:val="20"/>
                <w:szCs w:val="20"/>
              </w:rPr>
            </w:pPr>
            <w:r>
              <w:rPr>
                <w:rFonts w:hint="eastAsia" w:ascii="宋体" w:hAnsi="宋体" w:eastAsia="宋体"/>
                <w:b/>
                <w:bCs/>
                <w:color w:val="000000"/>
                <w:kern w:val="0"/>
                <w:sz w:val="20"/>
                <w:szCs w:val="20"/>
              </w:rPr>
              <w:t>30</w:t>
            </w:r>
          </w:p>
        </w:tc>
        <w:tc>
          <w:tcPr>
            <w:tcW w:w="655"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30.00</w:t>
            </w:r>
          </w:p>
        </w:tc>
        <w:tc>
          <w:tcPr>
            <w:tcW w:w="654" w:type="pc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宋体" w:hAnsi="宋体" w:eastAsia="宋体"/>
                <w:b/>
                <w:bCs/>
                <w:color w:val="000000"/>
                <w:kern w:val="0"/>
                <w:sz w:val="20"/>
                <w:szCs w:val="20"/>
              </w:rPr>
            </w:pPr>
            <w:r>
              <w:rPr>
                <w:rFonts w:hint="eastAsia" w:ascii="宋体" w:hAnsi="宋体" w:eastAsia="宋体"/>
                <w:b/>
                <w:bCs/>
                <w:color w:val="000000"/>
                <w:kern w:val="0"/>
                <w:sz w:val="20"/>
                <w:szCs w:val="20"/>
              </w:rPr>
              <w:t>100.00%</w:t>
            </w:r>
          </w:p>
        </w:tc>
      </w:tr>
    </w:tbl>
    <w:p>
      <w:pPr>
        <w:adjustRightInd w:val="0"/>
        <w:snapToGrid w:val="0"/>
        <w:spacing w:line="360" w:lineRule="auto"/>
        <w:ind w:firstLine="400" w:firstLineChars="200"/>
        <w:rPr>
          <w:rFonts w:ascii="仿宋_GB2312" w:eastAsia="仿宋_GB2312"/>
          <w:iCs/>
          <w:sz w:val="20"/>
          <w:szCs w:val="20"/>
        </w:rPr>
      </w:pPr>
    </w:p>
    <w:bookmarkEnd w:id="42"/>
    <w:p>
      <w:pPr>
        <w:adjustRightInd w:val="0"/>
        <w:snapToGrid w:val="0"/>
        <w:spacing w:line="560" w:lineRule="exact"/>
        <w:ind w:firstLine="640" w:firstLineChars="200"/>
        <w:outlineLvl w:val="2"/>
        <w:rPr>
          <w:rFonts w:ascii="仿宋_GB2312" w:eastAsia="仿宋_GB2312"/>
          <w:sz w:val="32"/>
          <w:szCs w:val="32"/>
        </w:rPr>
      </w:pPr>
      <w:bookmarkStart w:id="43" w:name="_Hlk130032542"/>
      <w:r>
        <w:rPr>
          <w:rFonts w:hint="eastAsia" w:ascii="仿宋_GB2312" w:eastAsia="仿宋_GB2312"/>
          <w:sz w:val="32"/>
          <w:szCs w:val="32"/>
        </w:rPr>
        <w:t>1.产出数量</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评价工作组在全面了解项目的基础上，沿用了《项目支出绩效目标表》中原有的产出数量指标“财务预算绩效管理工作</w:t>
      </w:r>
      <w:r>
        <w:rPr>
          <w:rFonts w:hint="eastAsia"/>
          <w:iCs/>
          <w:sz w:val="32"/>
          <w:szCs w:val="32"/>
        </w:rPr>
        <w:t>≥</w:t>
      </w:r>
      <w:r>
        <w:rPr>
          <w:rFonts w:hint="eastAsia" w:ascii="仿宋_GB2312" w:eastAsia="仿宋_GB2312"/>
          <w:iCs/>
          <w:sz w:val="32"/>
          <w:szCs w:val="32"/>
        </w:rPr>
        <w:t>6类”“财务综合服务</w:t>
      </w:r>
      <w:r>
        <w:rPr>
          <w:rFonts w:hint="eastAsia" w:ascii="仿宋_GB2312" w:eastAsia="仿宋_GB2312"/>
          <w:iCs/>
          <w:sz w:val="32"/>
          <w:szCs w:val="32"/>
          <w:lang w:eastAsia="zh-CN"/>
        </w:rPr>
        <w:t>－</w:t>
      </w:r>
      <w:r>
        <w:rPr>
          <w:rFonts w:hint="eastAsia" w:ascii="仿宋_GB2312" w:eastAsia="仿宋_GB2312"/>
          <w:iCs/>
          <w:sz w:val="32"/>
          <w:szCs w:val="32"/>
        </w:rPr>
        <w:t>财务会计规范提升工作5类”“内控建设与管理工作1项”“财务软件服务1项”“财务内部审计对象3个”“财务预算评审工作1项”等作为项目绩效评价产出数量考核指标。</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（1）预算绩效管理工作</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计划完成</w:t>
      </w:r>
      <w:r>
        <w:rPr>
          <w:rFonts w:ascii="仿宋_GB2312" w:eastAsia="仿宋_GB2312"/>
          <w:iCs/>
          <w:sz w:val="32"/>
          <w:szCs w:val="32"/>
        </w:rPr>
        <w:t>2023年度预算项目绩效目标辅导及规范性审核、2022年度部门绩效评价及自评项目复核、2022年度追加及2023年度申报项目事前绩效评估工作、2023年度预算项目半年绩效监控、2023年度政务服务信息系统运维服务项目成本绩效分析、分行业分领域指标体系构建及动态维护等6项工作</w:t>
      </w:r>
      <w:r>
        <w:rPr>
          <w:rFonts w:hint="eastAsia" w:ascii="仿宋_GB2312" w:eastAsia="仿宋_GB2312"/>
          <w:iCs/>
          <w:sz w:val="32"/>
          <w:szCs w:val="32"/>
        </w:rPr>
        <w:t>，截至2023年年底，6类计划工作均已完成，具体如下：①2023年度预算项目绩效目标辅导及规范性审核：协助完成部门整体支出绩效目标表1份、审核2023年度市政务局本级及网厅中心申报项目的绩效目标表58份；②2022年度部门绩效评价及自评项目复核：完成1个部门评价项目（《接诉即办》纪实性新闻栏目项目）的绩效评价报告1份，通过自评复核及整体咨询辅导，辅助完成部门整体绩效评价报告1份，附件含局本级67个项目支出绩效自评表、网厅中心4个项目支出绩效自评表；③完成1个2022年度新增追加项目及3个2023年度项目的事前绩效评估工作；④2023年度预算项目半年绩效监控：审核完成2023年市级项目支出绩效目标执行监控汇总表1份（含局本级58个项目、网厅中心7个项目），针对形成的1份项目支出绩效目标执行监控报告（半年）给出建议；⑤完成了2023年度政务服务信息系统运维服务项目成本绩效分析，形成了成本分析报告、支出定额表及预算安排表；⑥分行业分领域指标体系构建及动态维护：在前期建立的市政务服务局</w:t>
      </w:r>
      <w:r>
        <w:rPr>
          <w:rFonts w:hint="eastAsia" w:ascii="仿宋_GB2312" w:eastAsia="仿宋_GB2312"/>
          <w:iCs/>
          <w:sz w:val="32"/>
          <w:szCs w:val="32"/>
          <w:lang w:eastAsia="zh-CN"/>
        </w:rPr>
        <w:t>－</w:t>
      </w:r>
      <w:r>
        <w:rPr>
          <w:rFonts w:hint="eastAsia" w:ascii="仿宋_GB2312" w:eastAsia="仿宋_GB2312"/>
          <w:iCs/>
          <w:sz w:val="32"/>
          <w:szCs w:val="32"/>
        </w:rPr>
        <w:t>分行业、分领域绩效指标体系的基础上，基于2023年度开展的上年度绩效自评及本年度绩效监控的情况，确认指标体系中相应指标及指标值的合理性，并基于项目整合理念，提出相应的绩效目标与指标设置调整思路。</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（2）财务会计业务规范提升工作</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计划全年范围内针对</w:t>
      </w:r>
      <w:r>
        <w:rPr>
          <w:rFonts w:ascii="仿宋_GB2312" w:eastAsia="仿宋_GB2312"/>
          <w:iCs/>
          <w:sz w:val="32"/>
          <w:szCs w:val="32"/>
        </w:rPr>
        <w:t>市政务服务局本级</w:t>
      </w:r>
      <w:r>
        <w:rPr>
          <w:rFonts w:hint="eastAsia" w:ascii="仿宋_GB2312" w:eastAsia="仿宋_GB2312"/>
          <w:iCs/>
          <w:sz w:val="32"/>
          <w:szCs w:val="32"/>
        </w:rPr>
        <w:t>及</w:t>
      </w:r>
      <w:r>
        <w:rPr>
          <w:rFonts w:ascii="仿宋_GB2312" w:eastAsia="仿宋_GB2312"/>
          <w:iCs/>
          <w:sz w:val="32"/>
          <w:szCs w:val="32"/>
        </w:rPr>
        <w:t>网厅中心</w:t>
      </w:r>
      <w:r>
        <w:rPr>
          <w:rFonts w:hint="eastAsia" w:ascii="仿宋_GB2312" w:eastAsia="仿宋_GB2312"/>
          <w:iCs/>
          <w:sz w:val="32"/>
          <w:szCs w:val="32"/>
        </w:rPr>
        <w:t>从财务会计核算业务、资产管理、预决算专项、档案、政府采购与其他工作规范提升等</w:t>
      </w:r>
      <w:r>
        <w:rPr>
          <w:rFonts w:ascii="仿宋_GB2312" w:eastAsia="仿宋_GB2312"/>
          <w:iCs/>
          <w:sz w:val="32"/>
          <w:szCs w:val="32"/>
        </w:rPr>
        <w:t>5方面开展相应工作</w:t>
      </w:r>
      <w:r>
        <w:rPr>
          <w:rFonts w:hint="eastAsia" w:ascii="仿宋_GB2312" w:eastAsia="仿宋_GB2312"/>
          <w:iCs/>
          <w:sz w:val="32"/>
          <w:szCs w:val="32"/>
        </w:rPr>
        <w:t>。截至2023年年底，5类计划工作均已完成。通过驻场服务等方式，相应完成了财务会计核算业务指导培训、会计信息质量检查，资产规范管理指导、协助进行资产清查盘点及资产电子化标签，对预决算报告编制工作提供业务指导和数据质量检查，入账单据核验、会计档案整理装订备份，对政府采购及社保、医保、公积金、税务等会计业务提供指导及协助等工作。</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（3）内控建设与管理工作</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计划完成市政务服务局本级、网厅中心</w:t>
      </w:r>
      <w:r>
        <w:rPr>
          <w:rFonts w:ascii="仿宋_GB2312" w:eastAsia="仿宋_GB2312"/>
          <w:iCs/>
          <w:sz w:val="32"/>
          <w:szCs w:val="32"/>
        </w:rPr>
        <w:t>2022年度内部控制报告复核</w:t>
      </w:r>
      <w:r>
        <w:rPr>
          <w:rFonts w:hint="eastAsia" w:ascii="仿宋_GB2312" w:eastAsia="仿宋_GB2312"/>
          <w:iCs/>
          <w:sz w:val="32"/>
          <w:szCs w:val="32"/>
        </w:rPr>
        <w:t>，进行2022年度</w:t>
      </w:r>
      <w:r>
        <w:rPr>
          <w:rFonts w:ascii="仿宋_GB2312" w:eastAsia="仿宋_GB2312"/>
          <w:iCs/>
          <w:sz w:val="32"/>
          <w:szCs w:val="32"/>
        </w:rPr>
        <w:t>风险评估与自我评价</w:t>
      </w:r>
      <w:r>
        <w:rPr>
          <w:rFonts w:hint="eastAsia" w:ascii="仿宋_GB2312" w:eastAsia="仿宋_GB2312"/>
          <w:iCs/>
          <w:sz w:val="32"/>
          <w:szCs w:val="32"/>
        </w:rPr>
        <w:t>、分别形成成果报告</w:t>
      </w:r>
      <w:r>
        <w:rPr>
          <w:rFonts w:ascii="仿宋_GB2312" w:eastAsia="仿宋_GB2312"/>
          <w:iCs/>
          <w:sz w:val="32"/>
          <w:szCs w:val="32"/>
        </w:rPr>
        <w:t>，并针对2023年度内控制度体系建设进行辅导培训</w:t>
      </w:r>
      <w:r>
        <w:rPr>
          <w:rFonts w:hint="eastAsia" w:ascii="仿宋_GB2312" w:eastAsia="仿宋_GB2312"/>
          <w:iCs/>
          <w:sz w:val="32"/>
          <w:szCs w:val="32"/>
        </w:rPr>
        <w:t>。截至2023年年底，计划内容均已完成，实际复核报告2份、形成成果报告5份。</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（5）内部审计工作</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计划对市政务服务局</w:t>
      </w:r>
      <w:r>
        <w:rPr>
          <w:rFonts w:ascii="仿宋_GB2312" w:eastAsia="仿宋_GB2312"/>
          <w:iCs/>
          <w:sz w:val="32"/>
          <w:szCs w:val="32"/>
        </w:rPr>
        <w:t>本级及2家所属单位进行</w:t>
      </w:r>
      <w:r>
        <w:rPr>
          <w:rFonts w:hint="eastAsia" w:ascii="仿宋_GB2312" w:eastAsia="仿宋_GB2312"/>
          <w:iCs/>
          <w:sz w:val="32"/>
          <w:szCs w:val="32"/>
        </w:rPr>
        <w:t>2022年度</w:t>
      </w:r>
      <w:r>
        <w:rPr>
          <w:rFonts w:ascii="仿宋_GB2312" w:eastAsia="仿宋_GB2312"/>
          <w:iCs/>
          <w:sz w:val="32"/>
          <w:szCs w:val="32"/>
        </w:rPr>
        <w:t>财务收支审计，并在2023年度合同签订后完成资料清单制定及审计通知下达等任务</w:t>
      </w:r>
      <w:r>
        <w:rPr>
          <w:rFonts w:hint="eastAsia" w:ascii="仿宋_GB2312" w:eastAsia="仿宋_GB2312"/>
          <w:iCs/>
          <w:sz w:val="32"/>
          <w:szCs w:val="32"/>
        </w:rPr>
        <w:t>。截至2023年年底，完成了2022年度财务收支审计及2023年度审计通知下达等任务，出具成果报告共4份。</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（6）预算评审工作</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根据财政的要求，完成市政务服务管理局本级及网厅中心</w:t>
      </w:r>
      <w:r>
        <w:rPr>
          <w:rFonts w:ascii="仿宋_GB2312" w:eastAsia="仿宋_GB2312"/>
          <w:iCs/>
          <w:sz w:val="32"/>
          <w:szCs w:val="32"/>
        </w:rPr>
        <w:t>2022年追加及2023年度预算项目的评审工作的资金支付。并于2023年度合同签订后着手2023年度追加及下年预算项目的评审工作</w:t>
      </w:r>
      <w:r>
        <w:rPr>
          <w:rFonts w:hint="eastAsia" w:ascii="仿宋_GB2312" w:eastAsia="仿宋_GB2312"/>
          <w:iCs/>
          <w:sz w:val="32"/>
          <w:szCs w:val="32"/>
        </w:rPr>
        <w:t>。截至2023年年底，项目计划工作均已完成。2023年度申报项目或预算开展评审数量14个，2022年度追加项目等评审数量4个，分别形成评审报告。</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（7）财务软件信息管理系统运维服务工作</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计划全年范围内采购财务软件信息管理系统运维服务，保障用友软件的正常使用。截至2023年年底，项目计划工作均已完成，实现了财务基础数据管理、账务管理、电子报表、出纳、决算等功能及相关工作正常开展。</w:t>
      </w:r>
    </w:p>
    <w:bookmarkEnd w:id="43"/>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2.产出质量</w:t>
      </w:r>
    </w:p>
    <w:p>
      <w:pPr>
        <w:adjustRightInd w:val="0"/>
        <w:snapToGrid w:val="0"/>
        <w:spacing w:line="560" w:lineRule="exact"/>
        <w:ind w:firstLine="640" w:firstLineChars="200"/>
        <w:rPr>
          <w:rFonts w:ascii="仿宋_GB2312" w:eastAsia="仿宋_GB2312"/>
          <w:iCs/>
          <w:sz w:val="32"/>
          <w:szCs w:val="32"/>
        </w:rPr>
      </w:pPr>
      <w:bookmarkStart w:id="44" w:name="_Hlk130027843"/>
      <w:r>
        <w:rPr>
          <w:rFonts w:hint="eastAsia" w:ascii="仿宋_GB2312" w:eastAsia="仿宋_GB2312"/>
          <w:iCs/>
          <w:sz w:val="32"/>
          <w:szCs w:val="32"/>
        </w:rPr>
        <w:t>评价工作组在全面了解项目的基础上，结合合同中的相关条款约定及相关制度办法规定，沿用“财务用友软件全年正常使用率”“预算评审、预算绩效管理、内部审计、日常综合财务服务、内控管理等工作的开展符合北京市当年最新政策要求”等指标作为项目绩效评价产出质量考核指标。</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通过2023年度项目的开展，财务用友软件全年正常使用率达到100%。财务会计业务规范提升服务、内部审计、内部控制管理、预算评审、预算绩效管理等五项工作的实施符合北京市全面实施预算绩效管理的工作背景及市财政局2023年度关于财务管理、监督服务工作的要求，且2022</w:t>
      </w:r>
      <w:r>
        <w:rPr>
          <w:rFonts w:hint="eastAsia" w:ascii="仿宋_GB2312" w:eastAsia="仿宋_GB2312"/>
          <w:iCs/>
          <w:sz w:val="32"/>
          <w:szCs w:val="32"/>
          <w:lang w:eastAsia="zh-CN"/>
        </w:rPr>
        <w:t>—</w:t>
      </w:r>
      <w:r>
        <w:rPr>
          <w:rFonts w:hint="eastAsia" w:ascii="仿宋_GB2312" w:eastAsia="仿宋_GB2312"/>
          <w:iCs/>
          <w:sz w:val="32"/>
          <w:szCs w:val="32"/>
        </w:rPr>
        <w:t>2023年合同服务期结束后由财务处及时组织验收，各项工作均已通过成果验收，验收通过率100%。</w:t>
      </w:r>
    </w:p>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3.产出时效</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一方面，项目资金支付与合同支付条款要求一致，整体上，合同执行期结束、终验合格后的15个工作日内完成了上年合同款或合同尾款以及本年合同尾款支付；合同签订15个工作日内完成了当年合同首款支付。另一方面，各项工作按照计划时间完成，具体体现为：2022年10-12月完成了针对2023年度预算项目的评审及绩效目标辅导工作，2023年10-12月完成了针对2024年度预算项目的评审及绩效目标辅导工作；2023年5月20日完成了2022年度预算项目绩效自评、重点评价及部门整体评价；2023年6月底完成了2022年度内控报告编制、内控评价及风险评估等工作，2023年4月完成了针对2022年度的内部审计工作；2023年8月底完成了成本预算绩效分析工作；同时结合“随报随评、随评随入库”的原则进行了相应项目的事前评估工作；全年范围内提供了入账、会计核算、资产管理等财务日常服务工作及财务软件服务。2023年度项目各项工作开展整体无延迟。</w:t>
      </w:r>
    </w:p>
    <w:bookmarkEnd w:id="44"/>
    <w:p>
      <w:pPr>
        <w:adjustRightInd w:val="0"/>
        <w:snapToGrid w:val="0"/>
        <w:spacing w:line="560" w:lineRule="exact"/>
        <w:ind w:firstLine="640" w:firstLineChars="200"/>
        <w:outlineLvl w:val="2"/>
        <w:rPr>
          <w:rFonts w:ascii="仿宋_GB2312" w:eastAsia="仿宋_GB2312"/>
          <w:sz w:val="32"/>
          <w:szCs w:val="32"/>
        </w:rPr>
      </w:pPr>
      <w:r>
        <w:rPr>
          <w:rFonts w:hint="eastAsia" w:ascii="仿宋_GB2312" w:eastAsia="仿宋_GB2312"/>
          <w:sz w:val="32"/>
          <w:szCs w:val="32"/>
        </w:rPr>
        <w:t>4.产出成本</w:t>
      </w:r>
    </w:p>
    <w:p>
      <w:pPr>
        <w:adjustRightInd w:val="0"/>
        <w:snapToGrid w:val="0"/>
        <w:spacing w:line="560" w:lineRule="exact"/>
        <w:ind w:firstLine="640" w:firstLineChars="200"/>
        <w:rPr>
          <w:rFonts w:ascii="仿宋_GB2312" w:eastAsia="仿宋_GB2312"/>
          <w:iCs/>
          <w:sz w:val="32"/>
          <w:szCs w:val="32"/>
        </w:rPr>
      </w:pPr>
      <w:bookmarkStart w:id="45" w:name="_Hlk130026468"/>
      <w:r>
        <w:rPr>
          <w:rFonts w:hint="eastAsia" w:ascii="仿宋_GB2312" w:eastAsia="仿宋_GB2312"/>
          <w:iCs/>
          <w:sz w:val="32"/>
          <w:szCs w:val="32"/>
        </w:rPr>
        <w:t>该项目在参考市场行业工资薪酬及往年合同额的基础上，通过预算评审对测算内容、投入工作量及单价进行专业认定，并通过政府采购竞争性磋商等方式确定服务供应商，一定程度上节约了财政资金，财务综合服务项目</w:t>
      </w:r>
      <w:r>
        <w:rPr>
          <w:rFonts w:ascii="仿宋_GB2312" w:eastAsia="仿宋_GB2312"/>
          <w:iCs/>
          <w:sz w:val="32"/>
          <w:szCs w:val="32"/>
        </w:rPr>
        <w:t>2022年度采购中标价</w:t>
      </w:r>
      <w:r>
        <w:rPr>
          <w:rFonts w:hint="eastAsia" w:ascii="仿宋_GB2312" w:eastAsia="仿宋_GB2312"/>
          <w:iCs/>
          <w:sz w:val="32"/>
          <w:szCs w:val="32"/>
        </w:rPr>
        <w:t>为244.96万元，2023年度中标价244.80万元。</w:t>
      </w:r>
    </w:p>
    <w:bookmarkEnd w:id="45"/>
    <w:p>
      <w:pPr>
        <w:autoSpaceDE w:val="0"/>
        <w:autoSpaceDN w:val="0"/>
        <w:adjustRightInd w:val="0"/>
        <w:snapToGrid w:val="0"/>
        <w:spacing w:line="560" w:lineRule="exact"/>
        <w:ind w:firstLine="640" w:firstLineChars="200"/>
        <w:outlineLvl w:val="1"/>
        <w:rPr>
          <w:rFonts w:ascii="楷体_GB2312" w:hAnsi="宋体" w:eastAsia="楷体_GB2312" w:cs="宋体"/>
          <w:color w:val="000000"/>
          <w:kern w:val="0"/>
          <w:sz w:val="32"/>
          <w:szCs w:val="32"/>
        </w:rPr>
      </w:pPr>
      <w:bookmarkStart w:id="46" w:name="_Toc167139778"/>
      <w:bookmarkStart w:id="47" w:name="_Toc35588781"/>
      <w:bookmarkStart w:id="48" w:name="_Toc35588422"/>
      <w:r>
        <w:rPr>
          <w:rFonts w:hint="eastAsia" w:ascii="楷体_GB2312" w:hAnsi="宋体" w:eastAsia="楷体_GB2312" w:cs="宋体"/>
          <w:color w:val="000000"/>
          <w:kern w:val="0"/>
          <w:sz w:val="32"/>
          <w:szCs w:val="32"/>
        </w:rPr>
        <w:t>（四）项目效益情况</w:t>
      </w:r>
      <w:bookmarkEnd w:id="46"/>
    </w:p>
    <w:p>
      <w:pPr>
        <w:adjustRightInd w:val="0"/>
        <w:snapToGrid w:val="0"/>
        <w:spacing w:line="560" w:lineRule="exact"/>
        <w:ind w:firstLine="648"/>
        <w:rPr>
          <w:rFonts w:ascii="仿宋_GB2312" w:eastAsia="仿宋_GB2312"/>
          <w:iCs/>
          <w:sz w:val="32"/>
          <w:szCs w:val="32"/>
        </w:rPr>
      </w:pPr>
      <w:bookmarkStart w:id="49" w:name="_Hlk136518432"/>
      <w:r>
        <w:rPr>
          <w:rFonts w:hint="eastAsia" w:ascii="仿宋_GB2312" w:eastAsia="仿宋_GB2312"/>
          <w:iCs/>
          <w:sz w:val="32"/>
          <w:szCs w:val="32"/>
        </w:rPr>
        <w:t>项目实施在提高资源配置效率，促进各项财务支出合规，会计核算过程规范，保障资金使用安全，提升预算绩效管理一体化水平，为政务服务保驾护航等方面取得了较好的效果。但该项目存在效益数据挖潜归集不足等问题。该指标分值30分，得分27.50分，得分率91.67%。</w:t>
      </w:r>
      <w:bookmarkEnd w:id="49"/>
      <w:r>
        <w:rPr>
          <w:rFonts w:hint="eastAsia" w:ascii="仿宋_GB2312" w:eastAsia="仿宋_GB2312"/>
          <w:iCs/>
          <w:sz w:val="32"/>
          <w:szCs w:val="32"/>
        </w:rPr>
        <w:t>具体得分情况见表8。</w:t>
      </w:r>
    </w:p>
    <w:p>
      <w:pPr>
        <w:adjustRightInd w:val="0"/>
        <w:snapToGrid w:val="0"/>
        <w:spacing w:line="560" w:lineRule="exact"/>
        <w:jc w:val="center"/>
        <w:rPr>
          <w:rFonts w:ascii="黑体" w:hAnsi="黑体" w:eastAsia="黑体"/>
          <w:iCs/>
          <w:sz w:val="28"/>
          <w:szCs w:val="28"/>
        </w:rPr>
      </w:pPr>
      <w:r>
        <w:rPr>
          <w:rFonts w:hint="eastAsia" w:ascii="黑体" w:hAnsi="黑体" w:eastAsia="黑体"/>
          <w:iCs/>
          <w:sz w:val="28"/>
          <w:szCs w:val="28"/>
        </w:rPr>
        <w:t>表8：效益指标设定及评分情况表</w:t>
      </w:r>
    </w:p>
    <w:tbl>
      <w:tblPr>
        <w:tblStyle w:val="12"/>
        <w:tblW w:w="508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9"/>
        <w:gridCol w:w="1602"/>
        <w:gridCol w:w="2599"/>
        <w:gridCol w:w="991"/>
        <w:gridCol w:w="1135"/>
        <w:gridCol w:w="1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703" w:type="pct"/>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一级指标</w:t>
            </w:r>
          </w:p>
        </w:tc>
        <w:tc>
          <w:tcPr>
            <w:tcW w:w="924" w:type="pct"/>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二级指标</w:t>
            </w:r>
          </w:p>
        </w:tc>
        <w:tc>
          <w:tcPr>
            <w:tcW w:w="1498" w:type="pct"/>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三级指标</w:t>
            </w:r>
          </w:p>
        </w:tc>
        <w:tc>
          <w:tcPr>
            <w:tcW w:w="571" w:type="pct"/>
            <w:vAlign w:val="center"/>
          </w:tcPr>
          <w:p>
            <w:pPr>
              <w:widowControl/>
              <w:adjustRightInd w:val="0"/>
              <w:snapToGrid w:val="0"/>
              <w:jc w:val="center"/>
              <w:rPr>
                <w:rFonts w:ascii="宋体" w:hAnsi="宋体" w:eastAsia="宋体" w:cs="Arial"/>
                <w:b/>
                <w:bCs/>
                <w:iCs/>
                <w:kern w:val="0"/>
                <w:sz w:val="20"/>
                <w:szCs w:val="20"/>
              </w:rPr>
            </w:pPr>
            <w:r>
              <w:rPr>
                <w:rFonts w:hint="eastAsia" w:ascii="宋体" w:hAnsi="宋体" w:eastAsia="宋体" w:cs="Arial"/>
                <w:b/>
                <w:bCs/>
                <w:iCs/>
                <w:kern w:val="0"/>
                <w:sz w:val="20"/>
                <w:szCs w:val="20"/>
              </w:rPr>
              <w:t>分值</w:t>
            </w:r>
          </w:p>
        </w:tc>
        <w:tc>
          <w:tcPr>
            <w:tcW w:w="654" w:type="pct"/>
            <w:vAlign w:val="center"/>
          </w:tcPr>
          <w:p>
            <w:pPr>
              <w:widowControl/>
              <w:adjustRightInd w:val="0"/>
              <w:snapToGrid w:val="0"/>
              <w:jc w:val="center"/>
              <w:rPr>
                <w:rFonts w:ascii="宋体" w:hAnsi="宋体" w:eastAsia="宋体" w:cs="Arial"/>
                <w:b/>
                <w:bCs/>
                <w:kern w:val="0"/>
                <w:sz w:val="20"/>
                <w:szCs w:val="20"/>
              </w:rPr>
            </w:pPr>
            <w:r>
              <w:rPr>
                <w:rFonts w:hint="eastAsia" w:ascii="宋体" w:hAnsi="宋体" w:eastAsia="宋体" w:cs="Arial"/>
                <w:b/>
                <w:bCs/>
                <w:kern w:val="0"/>
                <w:sz w:val="20"/>
                <w:szCs w:val="20"/>
              </w:rPr>
              <w:t>得分</w:t>
            </w:r>
          </w:p>
        </w:tc>
        <w:tc>
          <w:tcPr>
            <w:tcW w:w="650" w:type="pct"/>
            <w:vAlign w:val="center"/>
          </w:tcPr>
          <w:p>
            <w:pPr>
              <w:widowControl/>
              <w:adjustRightInd w:val="0"/>
              <w:snapToGrid w:val="0"/>
              <w:jc w:val="center"/>
              <w:rPr>
                <w:rFonts w:ascii="宋体" w:hAnsi="宋体" w:eastAsia="宋体" w:cs="Arial"/>
                <w:b/>
                <w:bCs/>
                <w:kern w:val="0"/>
                <w:sz w:val="20"/>
                <w:szCs w:val="20"/>
              </w:rPr>
            </w:pPr>
            <w:r>
              <w:rPr>
                <w:rFonts w:hint="eastAsia" w:ascii="宋体" w:hAnsi="宋体" w:eastAsia="宋体" w:cs="Arial"/>
                <w:b/>
                <w:bCs/>
                <w:kern w:val="0"/>
                <w:sz w:val="20"/>
                <w:szCs w:val="20"/>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03" w:type="pct"/>
            <w:vMerge w:val="restart"/>
            <w:vAlign w:val="center"/>
          </w:tcPr>
          <w:p>
            <w:pPr>
              <w:widowControl/>
              <w:adjustRightInd w:val="0"/>
              <w:snapToGrid w:val="0"/>
              <w:jc w:val="center"/>
              <w:rPr>
                <w:rFonts w:ascii="宋体" w:hAnsi="宋体" w:eastAsia="宋体" w:cs="宋体"/>
                <w:iCs/>
                <w:kern w:val="0"/>
                <w:sz w:val="20"/>
                <w:szCs w:val="20"/>
              </w:rPr>
            </w:pPr>
            <w:r>
              <w:rPr>
                <w:rFonts w:ascii="宋体" w:hAnsi="宋体" w:eastAsia="宋体" w:cs="宋体"/>
                <w:iCs/>
                <w:kern w:val="0"/>
                <w:sz w:val="20"/>
                <w:szCs w:val="20"/>
              </w:rPr>
              <w:t>效益</w:t>
            </w:r>
          </w:p>
          <w:p>
            <w:pPr>
              <w:widowControl/>
              <w:adjustRightInd w:val="0"/>
              <w:snapToGrid w:val="0"/>
              <w:jc w:val="center"/>
              <w:rPr>
                <w:rFonts w:ascii="宋体" w:hAnsi="宋体" w:eastAsia="宋体" w:cs="宋体"/>
                <w:iCs/>
                <w:kern w:val="0"/>
                <w:sz w:val="20"/>
                <w:szCs w:val="20"/>
              </w:rPr>
            </w:pPr>
            <w:r>
              <w:rPr>
                <w:rFonts w:hint="eastAsia" w:ascii="宋体" w:hAnsi="宋体" w:eastAsia="宋体" w:cs="宋体"/>
                <w:iCs/>
                <w:kern w:val="0"/>
                <w:sz w:val="20"/>
                <w:szCs w:val="20"/>
              </w:rPr>
              <w:t>（30分）</w:t>
            </w:r>
          </w:p>
        </w:tc>
        <w:tc>
          <w:tcPr>
            <w:tcW w:w="924" w:type="pct"/>
            <w:vMerge w:val="restart"/>
            <w:vAlign w:val="center"/>
          </w:tcPr>
          <w:p>
            <w:pPr>
              <w:adjustRightInd w:val="0"/>
              <w:snapToGrid w:val="0"/>
              <w:jc w:val="center"/>
              <w:rPr>
                <w:rFonts w:ascii="宋体" w:hAnsi="宋体" w:eastAsia="宋体" w:cs="宋体"/>
                <w:iCs/>
                <w:kern w:val="0"/>
                <w:sz w:val="20"/>
                <w:szCs w:val="20"/>
              </w:rPr>
            </w:pPr>
            <w:r>
              <w:rPr>
                <w:rFonts w:hint="eastAsia" w:ascii="宋体" w:hAnsi="宋体" w:eastAsia="宋体" w:cs="宋体"/>
                <w:iCs/>
                <w:kern w:val="0"/>
                <w:sz w:val="20"/>
                <w:szCs w:val="20"/>
              </w:rPr>
              <w:t>项目效益</w:t>
            </w:r>
          </w:p>
        </w:tc>
        <w:tc>
          <w:tcPr>
            <w:tcW w:w="1498" w:type="pct"/>
            <w:vAlign w:val="center"/>
          </w:tcPr>
          <w:p>
            <w:pPr>
              <w:widowControl/>
              <w:adjustRightInd w:val="0"/>
              <w:snapToGrid w:val="0"/>
              <w:jc w:val="center"/>
              <w:rPr>
                <w:rFonts w:ascii="宋体" w:hAnsi="宋体" w:eastAsia="宋体" w:cs="宋体"/>
                <w:iCs/>
                <w:kern w:val="0"/>
                <w:sz w:val="20"/>
                <w:szCs w:val="20"/>
              </w:rPr>
            </w:pPr>
            <w:r>
              <w:rPr>
                <w:rFonts w:hint="eastAsia" w:ascii="宋体" w:hAnsi="宋体" w:eastAsia="宋体" w:cs="宋体"/>
                <w:iCs/>
                <w:kern w:val="0"/>
                <w:sz w:val="20"/>
                <w:szCs w:val="20"/>
              </w:rPr>
              <w:t>促进财务管理水平提升，为政务服务工作保驾护航</w:t>
            </w:r>
          </w:p>
        </w:tc>
        <w:tc>
          <w:tcPr>
            <w:tcW w:w="571" w:type="pct"/>
            <w:vAlign w:val="center"/>
          </w:tcPr>
          <w:p>
            <w:pPr>
              <w:widowControl/>
              <w:adjustRightInd w:val="0"/>
              <w:snapToGrid w:val="0"/>
              <w:jc w:val="center"/>
              <w:rPr>
                <w:rFonts w:cs="宋体" w:asciiTheme="minorEastAsia" w:hAnsiTheme="minorEastAsia" w:eastAsiaTheme="minorEastAsia"/>
                <w:kern w:val="0"/>
                <w:sz w:val="20"/>
                <w:szCs w:val="20"/>
              </w:rPr>
            </w:pPr>
            <w:r>
              <w:rPr>
                <w:rFonts w:hint="eastAsia" w:asciiTheme="minorEastAsia" w:hAnsiTheme="minorEastAsia" w:eastAsiaTheme="minorEastAsia"/>
                <w:sz w:val="20"/>
                <w:szCs w:val="20"/>
              </w:rPr>
              <w:t>20</w:t>
            </w:r>
          </w:p>
        </w:tc>
        <w:tc>
          <w:tcPr>
            <w:tcW w:w="654" w:type="pct"/>
            <w:vAlign w:val="center"/>
          </w:tcPr>
          <w:p>
            <w:pPr>
              <w:widowControl/>
              <w:adjustRightInd w:val="0"/>
              <w:snapToGrid w:val="0"/>
              <w:jc w:val="center"/>
              <w:rPr>
                <w:rFonts w:cs="宋体" w:asciiTheme="minorEastAsia" w:hAnsiTheme="minorEastAsia" w:eastAsiaTheme="minorEastAsia"/>
                <w:kern w:val="0"/>
                <w:sz w:val="20"/>
                <w:szCs w:val="20"/>
              </w:rPr>
            </w:pPr>
            <w:r>
              <w:rPr>
                <w:rFonts w:hint="eastAsia" w:cs="宋体" w:asciiTheme="minorEastAsia" w:hAnsiTheme="minorEastAsia" w:eastAsiaTheme="minorEastAsia"/>
                <w:kern w:val="0"/>
                <w:sz w:val="20"/>
                <w:szCs w:val="20"/>
              </w:rPr>
              <w:t>17.80</w:t>
            </w:r>
          </w:p>
        </w:tc>
        <w:tc>
          <w:tcPr>
            <w:tcW w:w="650" w:type="pct"/>
            <w:vAlign w:val="center"/>
          </w:tcPr>
          <w:p>
            <w:pPr>
              <w:widowControl/>
              <w:adjustRightInd w:val="0"/>
              <w:snapToGrid w:val="0"/>
              <w:jc w:val="center"/>
              <w:rPr>
                <w:rFonts w:cs="宋体" w:asciiTheme="minorEastAsia" w:hAnsiTheme="minorEastAsia" w:eastAsiaTheme="minorEastAsia"/>
                <w:kern w:val="0"/>
                <w:sz w:val="20"/>
                <w:szCs w:val="20"/>
              </w:rPr>
            </w:pPr>
            <w:r>
              <w:rPr>
                <w:rFonts w:hint="eastAsia" w:cs="宋体" w:asciiTheme="minorEastAsia" w:hAnsiTheme="minorEastAsia" w:eastAsiaTheme="minorEastAsia"/>
                <w:kern w:val="0"/>
                <w:sz w:val="20"/>
                <w:szCs w:val="20"/>
              </w:rPr>
              <w:t>89</w:t>
            </w:r>
            <w:r>
              <w:rPr>
                <w:rFonts w:cs="宋体" w:asciiTheme="minorEastAsia" w:hAnsiTheme="minorEastAsia" w:eastAsiaTheme="minorEastAsia"/>
                <w:kern w:val="0"/>
                <w:sz w:val="20"/>
                <w:szCs w:val="20"/>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03" w:type="pct"/>
            <w:vMerge w:val="continue"/>
            <w:vAlign w:val="center"/>
          </w:tcPr>
          <w:p>
            <w:pPr>
              <w:widowControl/>
              <w:adjustRightInd w:val="0"/>
              <w:snapToGrid w:val="0"/>
              <w:jc w:val="center"/>
              <w:rPr>
                <w:rFonts w:ascii="宋体" w:hAnsi="宋体" w:eastAsia="宋体" w:cs="宋体"/>
                <w:iCs/>
                <w:kern w:val="0"/>
                <w:sz w:val="20"/>
                <w:szCs w:val="20"/>
              </w:rPr>
            </w:pPr>
          </w:p>
        </w:tc>
        <w:tc>
          <w:tcPr>
            <w:tcW w:w="924" w:type="pct"/>
            <w:vMerge w:val="continue"/>
            <w:vAlign w:val="center"/>
          </w:tcPr>
          <w:p>
            <w:pPr>
              <w:adjustRightInd w:val="0"/>
              <w:snapToGrid w:val="0"/>
              <w:jc w:val="center"/>
              <w:rPr>
                <w:rFonts w:ascii="宋体" w:hAnsi="宋体" w:eastAsia="宋体" w:cs="宋体"/>
                <w:iCs/>
                <w:kern w:val="0"/>
                <w:sz w:val="20"/>
                <w:szCs w:val="20"/>
              </w:rPr>
            </w:pPr>
          </w:p>
        </w:tc>
        <w:tc>
          <w:tcPr>
            <w:tcW w:w="1498" w:type="pct"/>
            <w:vAlign w:val="center"/>
          </w:tcPr>
          <w:p>
            <w:pPr>
              <w:widowControl/>
              <w:adjustRightInd w:val="0"/>
              <w:snapToGrid w:val="0"/>
              <w:jc w:val="center"/>
              <w:rPr>
                <w:rFonts w:ascii="宋体" w:hAnsi="宋体" w:eastAsia="宋体" w:cs="宋体"/>
                <w:iCs/>
                <w:kern w:val="0"/>
                <w:sz w:val="20"/>
                <w:szCs w:val="20"/>
              </w:rPr>
            </w:pPr>
            <w:r>
              <w:rPr>
                <w:rFonts w:hint="eastAsia" w:ascii="宋体" w:hAnsi="宋体" w:eastAsia="宋体" w:cs="宋体"/>
                <w:iCs/>
                <w:kern w:val="0"/>
                <w:sz w:val="20"/>
                <w:szCs w:val="20"/>
              </w:rPr>
              <w:t>购买服务主体满意度</w:t>
            </w:r>
          </w:p>
        </w:tc>
        <w:tc>
          <w:tcPr>
            <w:tcW w:w="571" w:type="pct"/>
            <w:vAlign w:val="center"/>
          </w:tcPr>
          <w:p>
            <w:pPr>
              <w:widowControl/>
              <w:adjustRightInd w:val="0"/>
              <w:snapToGrid w:val="0"/>
              <w:jc w:val="center"/>
              <w:rPr>
                <w:rFonts w:cs="宋体" w:asciiTheme="minorEastAsia" w:hAnsiTheme="minorEastAsia" w:eastAsiaTheme="minorEastAsia"/>
                <w:kern w:val="0"/>
                <w:sz w:val="20"/>
                <w:szCs w:val="20"/>
              </w:rPr>
            </w:pPr>
            <w:r>
              <w:rPr>
                <w:rFonts w:asciiTheme="minorEastAsia" w:hAnsiTheme="minorEastAsia" w:eastAsiaTheme="minorEastAsia"/>
                <w:sz w:val="20"/>
                <w:szCs w:val="20"/>
              </w:rPr>
              <w:t>10</w:t>
            </w:r>
          </w:p>
        </w:tc>
        <w:tc>
          <w:tcPr>
            <w:tcW w:w="654" w:type="pct"/>
            <w:vAlign w:val="center"/>
          </w:tcPr>
          <w:p>
            <w:pPr>
              <w:widowControl/>
              <w:adjustRightInd w:val="0"/>
              <w:snapToGrid w:val="0"/>
              <w:jc w:val="center"/>
              <w:rPr>
                <w:rFonts w:cs="宋体" w:asciiTheme="minorEastAsia" w:hAnsiTheme="minorEastAsia" w:eastAsiaTheme="minorEastAsia"/>
                <w:kern w:val="0"/>
                <w:sz w:val="20"/>
                <w:szCs w:val="20"/>
              </w:rPr>
            </w:pPr>
            <w:r>
              <w:rPr>
                <w:rFonts w:hint="eastAsia" w:cs="宋体" w:asciiTheme="minorEastAsia" w:hAnsiTheme="minorEastAsia" w:eastAsiaTheme="minorEastAsia"/>
                <w:kern w:val="0"/>
                <w:sz w:val="20"/>
                <w:szCs w:val="20"/>
              </w:rPr>
              <w:t>10.00</w:t>
            </w:r>
          </w:p>
        </w:tc>
        <w:tc>
          <w:tcPr>
            <w:tcW w:w="650" w:type="pct"/>
            <w:vAlign w:val="center"/>
          </w:tcPr>
          <w:p>
            <w:pPr>
              <w:widowControl/>
              <w:adjustRightInd w:val="0"/>
              <w:snapToGrid w:val="0"/>
              <w:jc w:val="center"/>
              <w:rPr>
                <w:rFonts w:cs="宋体" w:asciiTheme="minorEastAsia" w:hAnsiTheme="minorEastAsia" w:eastAsiaTheme="minorEastAsia"/>
                <w:kern w:val="0"/>
                <w:sz w:val="20"/>
                <w:szCs w:val="20"/>
              </w:rPr>
            </w:pPr>
            <w:r>
              <w:rPr>
                <w:rFonts w:hint="eastAsia" w:cs="宋体" w:asciiTheme="minorEastAsia" w:hAnsiTheme="minorEastAsia" w:eastAsiaTheme="minorEastAsia"/>
                <w:kern w:val="0"/>
                <w:sz w:val="20"/>
                <w:szCs w:val="20"/>
              </w:rPr>
              <w:t>100</w:t>
            </w:r>
            <w:r>
              <w:rPr>
                <w:rFonts w:cs="宋体" w:asciiTheme="minorEastAsia" w:hAnsiTheme="minorEastAsia" w:eastAsiaTheme="minorEastAsia"/>
                <w:kern w:val="0"/>
                <w:sz w:val="20"/>
                <w:szCs w:val="20"/>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125" w:type="pct"/>
            <w:gridSpan w:val="3"/>
            <w:vAlign w:val="center"/>
          </w:tcPr>
          <w:p>
            <w:pPr>
              <w:widowControl/>
              <w:adjustRightInd w:val="0"/>
              <w:snapToGrid w:val="0"/>
              <w:jc w:val="center"/>
              <w:rPr>
                <w:rFonts w:ascii="宋体" w:hAnsi="宋体" w:eastAsia="宋体" w:cs="宋体"/>
                <w:b/>
                <w:bCs/>
                <w:iCs/>
                <w:kern w:val="0"/>
                <w:sz w:val="20"/>
                <w:szCs w:val="20"/>
              </w:rPr>
            </w:pPr>
            <w:r>
              <w:rPr>
                <w:rFonts w:hint="eastAsia" w:ascii="宋体" w:hAnsi="宋体" w:eastAsia="宋体" w:cs="宋体"/>
                <w:b/>
                <w:bCs/>
                <w:iCs/>
                <w:kern w:val="0"/>
                <w:sz w:val="20"/>
                <w:szCs w:val="20"/>
              </w:rPr>
              <w:t>合计</w:t>
            </w:r>
          </w:p>
        </w:tc>
        <w:tc>
          <w:tcPr>
            <w:tcW w:w="571" w:type="pct"/>
            <w:vAlign w:val="center"/>
          </w:tcPr>
          <w:p>
            <w:pPr>
              <w:widowControl/>
              <w:adjustRightInd w:val="0"/>
              <w:snapToGrid w:val="0"/>
              <w:jc w:val="center"/>
              <w:rPr>
                <w:rFonts w:asciiTheme="minorEastAsia" w:hAnsiTheme="minorEastAsia" w:eastAsiaTheme="minorEastAsia"/>
                <w:b/>
                <w:bCs/>
                <w:sz w:val="20"/>
                <w:szCs w:val="20"/>
              </w:rPr>
            </w:pPr>
            <w:r>
              <w:rPr>
                <w:rFonts w:hint="eastAsia" w:asciiTheme="minorEastAsia" w:hAnsiTheme="minorEastAsia" w:eastAsiaTheme="minorEastAsia"/>
                <w:b/>
                <w:bCs/>
                <w:sz w:val="20"/>
                <w:szCs w:val="20"/>
              </w:rPr>
              <w:t>3</w:t>
            </w:r>
            <w:r>
              <w:rPr>
                <w:rFonts w:asciiTheme="minorEastAsia" w:hAnsiTheme="minorEastAsia" w:eastAsiaTheme="minorEastAsia"/>
                <w:b/>
                <w:bCs/>
                <w:sz w:val="20"/>
                <w:szCs w:val="20"/>
              </w:rPr>
              <w:t>0</w:t>
            </w:r>
          </w:p>
        </w:tc>
        <w:tc>
          <w:tcPr>
            <w:tcW w:w="654" w:type="pct"/>
            <w:vAlign w:val="center"/>
          </w:tcPr>
          <w:p>
            <w:pPr>
              <w:widowControl/>
              <w:adjustRightInd w:val="0"/>
              <w:snapToGrid w:val="0"/>
              <w:jc w:val="center"/>
              <w:rPr>
                <w:rFonts w:hint="eastAsia" w:cs="宋体" w:asciiTheme="minorEastAsia" w:hAnsiTheme="minorEastAsia" w:eastAsiaTheme="minorEastAsia"/>
                <w:b/>
                <w:bCs/>
                <w:kern w:val="0"/>
                <w:sz w:val="20"/>
                <w:szCs w:val="20"/>
              </w:rPr>
            </w:pPr>
            <w:r>
              <w:rPr>
                <w:rFonts w:hint="eastAsia" w:cs="宋体" w:asciiTheme="minorEastAsia" w:hAnsiTheme="minorEastAsia" w:eastAsiaTheme="minorEastAsia"/>
                <w:b/>
                <w:bCs/>
                <w:kern w:val="0"/>
                <w:sz w:val="20"/>
                <w:szCs w:val="20"/>
              </w:rPr>
              <w:t>27.50</w:t>
            </w:r>
          </w:p>
        </w:tc>
        <w:tc>
          <w:tcPr>
            <w:tcW w:w="650" w:type="pct"/>
            <w:vAlign w:val="center"/>
          </w:tcPr>
          <w:p>
            <w:pPr>
              <w:widowControl/>
              <w:adjustRightInd w:val="0"/>
              <w:snapToGrid w:val="0"/>
              <w:jc w:val="center"/>
              <w:rPr>
                <w:rFonts w:cs="宋体" w:asciiTheme="minorEastAsia" w:hAnsiTheme="minorEastAsia" w:eastAsiaTheme="minorEastAsia"/>
                <w:b/>
                <w:bCs/>
                <w:kern w:val="0"/>
                <w:sz w:val="20"/>
                <w:szCs w:val="20"/>
              </w:rPr>
            </w:pPr>
            <w:r>
              <w:rPr>
                <w:rFonts w:hint="eastAsia" w:cs="宋体" w:asciiTheme="minorEastAsia" w:hAnsiTheme="minorEastAsia" w:eastAsiaTheme="minorEastAsia"/>
                <w:b/>
                <w:bCs/>
                <w:kern w:val="0"/>
                <w:sz w:val="20"/>
                <w:szCs w:val="20"/>
              </w:rPr>
              <w:t>91.67</w:t>
            </w:r>
            <w:r>
              <w:rPr>
                <w:rFonts w:cs="宋体" w:asciiTheme="minorEastAsia" w:hAnsiTheme="minorEastAsia" w:eastAsiaTheme="minorEastAsia"/>
                <w:b/>
                <w:bCs/>
                <w:kern w:val="0"/>
                <w:sz w:val="20"/>
                <w:szCs w:val="20"/>
              </w:rPr>
              <w:t>%</w:t>
            </w:r>
          </w:p>
        </w:tc>
      </w:tr>
    </w:tbl>
    <w:p>
      <w:pPr>
        <w:autoSpaceDE/>
        <w:autoSpaceDN/>
        <w:adjustRightInd/>
        <w:snapToGrid/>
        <w:spacing w:line="240" w:lineRule="auto"/>
        <w:ind w:firstLine="0" w:firstLineChars="0"/>
        <w:rPr>
          <w:rFonts w:hint="eastAsia" w:ascii="仿宋_GB2312"/>
          <w:sz w:val="20"/>
          <w:szCs w:val="20"/>
        </w:rPr>
      </w:pPr>
    </w:p>
    <w:p>
      <w:pPr>
        <w:autoSpaceDE w:val="0"/>
        <w:autoSpaceDN w:val="0"/>
        <w:adjustRightInd w:val="0"/>
        <w:snapToGrid w:val="0"/>
        <w:spacing w:line="560" w:lineRule="exact"/>
        <w:ind w:firstLine="640" w:firstLineChars="200"/>
        <w:outlineLvl w:val="2"/>
        <w:rPr>
          <w:rFonts w:ascii="仿宋_GB2312" w:hAnsi="宋体" w:eastAsia="仿宋_GB2312" w:cs="宋体"/>
          <w:i/>
          <w:iCs/>
          <w:color w:val="000000"/>
          <w:kern w:val="0"/>
          <w:sz w:val="32"/>
          <w:szCs w:val="32"/>
        </w:rPr>
      </w:pPr>
      <w:r>
        <w:rPr>
          <w:rFonts w:ascii="仿宋_GB2312" w:hAnsi="宋体" w:eastAsia="仿宋_GB2312" w:cs="宋体"/>
          <w:color w:val="000000"/>
          <w:kern w:val="0"/>
          <w:sz w:val="32"/>
          <w:szCs w:val="32"/>
        </w:rPr>
        <w:t>1.实施效益</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（1）促进财务管理水平提升，为政务服务工作保驾护航</w:t>
      </w:r>
    </w:p>
    <w:p>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iCs/>
          <w:sz w:val="32"/>
          <w:szCs w:val="32"/>
        </w:rPr>
        <w:t>该项目通过采取“强化自身管理统筹”及“购买</w:t>
      </w:r>
      <w:r>
        <w:rPr>
          <w:rFonts w:ascii="仿宋_GB2312" w:eastAsia="仿宋_GB2312"/>
          <w:sz w:val="32"/>
          <w:szCs w:val="32"/>
        </w:rPr>
        <w:t>外部监督、稽核、分析</w:t>
      </w:r>
      <w:r>
        <w:rPr>
          <w:rFonts w:hint="eastAsia" w:ascii="仿宋_GB2312" w:eastAsia="仿宋_GB2312"/>
          <w:sz w:val="32"/>
          <w:szCs w:val="32"/>
        </w:rPr>
        <w:t>服务</w:t>
      </w:r>
      <w:r>
        <w:rPr>
          <w:rFonts w:hint="eastAsia" w:ascii="仿宋_GB2312" w:eastAsia="仿宋_GB2312"/>
          <w:iCs/>
          <w:sz w:val="32"/>
          <w:szCs w:val="32"/>
        </w:rPr>
        <w:t>”等双链条工作模式，积极与市财政局、各资金使用处室以及二级预算单位沟通，精准测算当年资金缺口及市委市政府重大决策部署对应重点工作新增需求，全年争取市财政资金保障53544.56万元，形成会计支出凭证615份，为2023年度市政务服务局各项工作顺利推进开展奠定了坚实基础，同时在不断加强会计核算过程中，提升了管理水平。</w:t>
      </w:r>
    </w:p>
    <w:p>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sz w:val="32"/>
          <w:szCs w:val="32"/>
        </w:rPr>
        <w:t>2023年通过对市政务服务局本级及相关二级预算单位开展2022年度内部控制评价、风险评估及内部审计等工作，提出相关问题建议近20条，均制定了相应整改措施、积极组织了整改工作，并编制了《财务事项报请局党组会审议的程序及要件规范》《市政务服务局固定资产管理工作规范》《市政务服务局合同管理工作规范》</w:t>
      </w:r>
      <w:r>
        <w:rPr>
          <w:rFonts w:ascii="仿宋_GB2312" w:eastAsia="仿宋_GB2312"/>
          <w:sz w:val="32"/>
          <w:szCs w:val="32"/>
        </w:rPr>
        <w:t>3个内控工作规范，修订了《北京市政务服务管理局固定资产管理办法》和《北京市政务服务管理局合同管理办法》2个制度，</w:t>
      </w:r>
      <w:r>
        <w:rPr>
          <w:rFonts w:hint="eastAsia" w:ascii="仿宋_GB2312" w:eastAsia="仿宋_GB2312"/>
          <w:sz w:val="32"/>
          <w:szCs w:val="32"/>
        </w:rPr>
        <w:t>通过项目的开展，实现了调机制、优流程，助力于充分保障资金使用安全。此外，2023年市政务服务局财务处牵头配合市审计局完成了“过紧日子”“一网通办”等专项审计工作，针对提出的审计问题均立行立改；配合机关党委（人事处），按照市委第十四巡视组要求，向巡视组及时提供了近年来财务档案、合同、委托外包项目情况等材料，整体上，局机关财务工作经受住了审计监督及巡视考验，彰显了其财务管理工作成效与水平。</w:t>
      </w:r>
    </w:p>
    <w:p>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sz w:val="32"/>
          <w:szCs w:val="32"/>
          <w:lang w:val="en-US" w:eastAsia="zh-CN"/>
        </w:rPr>
        <w:t>围绕预算编制的科学性、合理性、完整性，开展预算评审工作，</w:t>
      </w:r>
      <w:r>
        <w:rPr>
          <w:rFonts w:hint="eastAsia" w:ascii="仿宋_GB2312" w:eastAsia="仿宋_GB2312"/>
          <w:sz w:val="32"/>
          <w:szCs w:val="32"/>
        </w:rPr>
        <w:t>预算评审送审金额</w:t>
      </w:r>
      <w:r>
        <w:rPr>
          <w:rFonts w:ascii="仿宋_GB2312" w:eastAsia="仿宋_GB2312"/>
          <w:sz w:val="32"/>
          <w:szCs w:val="32"/>
        </w:rPr>
        <w:t>5810.00万元</w:t>
      </w:r>
      <w:r>
        <w:rPr>
          <w:rFonts w:hint="eastAsia" w:ascii="仿宋_GB2312" w:eastAsia="仿宋_GB2312"/>
          <w:sz w:val="32"/>
          <w:szCs w:val="32"/>
        </w:rPr>
        <w:t>、</w:t>
      </w:r>
      <w:r>
        <w:rPr>
          <w:rFonts w:ascii="仿宋_GB2312" w:eastAsia="仿宋_GB2312"/>
          <w:sz w:val="32"/>
          <w:szCs w:val="32"/>
        </w:rPr>
        <w:t>审减金额143.05万元</w:t>
      </w:r>
      <w:r>
        <w:rPr>
          <w:rFonts w:hint="eastAsia" w:ascii="仿宋_GB2312" w:eastAsia="仿宋_GB2312"/>
          <w:sz w:val="32"/>
          <w:szCs w:val="32"/>
        </w:rPr>
        <w:t>、</w:t>
      </w:r>
      <w:r>
        <w:rPr>
          <w:rFonts w:ascii="仿宋_GB2312" w:eastAsia="仿宋_GB2312"/>
          <w:sz w:val="32"/>
          <w:szCs w:val="32"/>
        </w:rPr>
        <w:t>审减率2.46%</w:t>
      </w:r>
      <w:r>
        <w:rPr>
          <w:rFonts w:hint="eastAsia" w:ascii="仿宋_GB2312" w:eastAsia="仿宋_GB2312"/>
          <w:sz w:val="32"/>
          <w:szCs w:val="32"/>
          <w:lang w:eastAsia="zh-CN"/>
        </w:rPr>
        <w:t>。</w:t>
      </w:r>
      <w:r>
        <w:rPr>
          <w:rFonts w:hint="eastAsia" w:ascii="仿宋_GB2312" w:eastAsia="仿宋_GB2312"/>
          <w:sz w:val="32"/>
          <w:szCs w:val="32"/>
        </w:rPr>
        <w:t>通过2023年度全过程预算绩效管理工作的开展，政务服务信息系统运维服务项目成本绩效分析形成定额标准共计40余条，均用于当年及下年预算编制工作，促进了财政资金使用及资源配置效率的进一步提升</w:t>
      </w:r>
      <w:r>
        <w:rPr>
          <w:rFonts w:hint="eastAsia" w:ascii="仿宋_GB2312" w:eastAsia="仿宋_GB2312"/>
          <w:sz w:val="32"/>
          <w:szCs w:val="32"/>
          <w:lang w:eastAsia="zh-CN"/>
        </w:rPr>
        <w:t>；</w:t>
      </w:r>
      <w:r>
        <w:rPr>
          <w:rFonts w:hint="eastAsia" w:ascii="仿宋_GB2312" w:eastAsia="仿宋_GB2312"/>
          <w:sz w:val="32"/>
          <w:szCs w:val="32"/>
        </w:rPr>
        <w:t>通过绩效监控、评价等工作的开展，能够促进各业务处室对应项目实施过程中及时纠偏、保障项目计划目标及各项政务服务行动计划的达成。</w:t>
      </w:r>
    </w:p>
    <w:p>
      <w:pPr>
        <w:adjustRightInd w:val="0"/>
        <w:snapToGrid w:val="0"/>
        <w:spacing w:line="560" w:lineRule="exact"/>
        <w:ind w:firstLine="648"/>
        <w:rPr>
          <w:rFonts w:ascii="仿宋_GB2312" w:eastAsia="仿宋_GB2312"/>
          <w:iCs/>
          <w:sz w:val="32"/>
          <w:szCs w:val="32"/>
        </w:rPr>
      </w:pPr>
      <w:r>
        <w:rPr>
          <w:rFonts w:hint="eastAsia" w:ascii="仿宋_GB2312" w:eastAsia="仿宋_GB2312"/>
          <w:iCs/>
          <w:sz w:val="32"/>
          <w:szCs w:val="32"/>
        </w:rPr>
        <w:t>整体上，项目的开展能够促进各项财务支出合规，会计核算过程规范，保障资金使用安全；提高资源配置效率，有效提升预算绩效管理一体化水平，为政务服务保驾护航。但是，项目开展整体效益数据有待进一步统筹、持续追踪。日常财务工作中相关问题及改进建议清单有待细化形成正式资料文件，供后续年度项目实施参考；事前绩效评估及预算评审工作之间的统筹有待进一步强化，针对内控、风险评估、绩效等工作提出问题的整改落实追踪情况有待进一步强化。</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（2）购买</w:t>
      </w:r>
      <w:r>
        <w:rPr>
          <w:rFonts w:hint="eastAsia" w:ascii="仿宋_GB2312" w:eastAsia="仿宋_GB2312"/>
          <w:iCs/>
          <w:sz w:val="32"/>
          <w:szCs w:val="32"/>
          <w:highlight w:val="none"/>
        </w:rPr>
        <w:t>服务主体</w:t>
      </w:r>
      <w:r>
        <w:rPr>
          <w:rFonts w:hint="eastAsia" w:ascii="仿宋_GB2312" w:eastAsia="仿宋_GB2312"/>
          <w:iCs/>
          <w:sz w:val="32"/>
          <w:szCs w:val="32"/>
        </w:rPr>
        <w:t>满意度</w:t>
      </w:r>
    </w:p>
    <w:p>
      <w:pPr>
        <w:adjustRightInd w:val="0"/>
        <w:snapToGrid w:val="0"/>
        <w:spacing w:line="560" w:lineRule="exact"/>
        <w:ind w:firstLine="640" w:firstLineChars="200"/>
        <w:rPr>
          <w:rFonts w:ascii="仿宋_GB2312" w:eastAsia="仿宋_GB2312"/>
          <w:iCs/>
          <w:sz w:val="32"/>
          <w:szCs w:val="32"/>
        </w:rPr>
      </w:pPr>
      <w:r>
        <w:rPr>
          <w:rFonts w:hint="eastAsia" w:ascii="仿宋_GB2312" w:eastAsia="仿宋_GB2312"/>
          <w:iCs/>
          <w:sz w:val="32"/>
          <w:szCs w:val="32"/>
        </w:rPr>
        <w:t>市政务服务局财务处作为购买服务主体，针对六大模块服务内容及成果均予以认定，验收通过率100%，</w:t>
      </w:r>
      <w:r>
        <w:rPr>
          <w:rFonts w:hint="eastAsia" w:ascii="仿宋_GB2312" w:eastAsia="仿宋_GB2312"/>
          <w:iCs/>
          <w:sz w:val="32"/>
          <w:szCs w:val="32"/>
          <w:lang w:eastAsia="zh-CN"/>
        </w:rPr>
        <w:t>对</w:t>
      </w:r>
      <w:r>
        <w:rPr>
          <w:rFonts w:hint="eastAsia" w:ascii="仿宋_GB2312" w:eastAsia="仿宋_GB2312"/>
          <w:iCs/>
          <w:sz w:val="32"/>
          <w:szCs w:val="32"/>
        </w:rPr>
        <w:t>购买服务内容满意。财务综合服务项目的工作机制为“财务处牵头</w:t>
      </w:r>
      <w:r>
        <w:rPr>
          <w:rFonts w:hint="eastAsia" w:ascii="仿宋_GB2312" w:eastAsia="仿宋_GB2312"/>
          <w:iCs/>
          <w:sz w:val="32"/>
          <w:szCs w:val="32"/>
          <w:lang w:eastAsia="zh-CN"/>
        </w:rPr>
        <w:t>－</w:t>
      </w:r>
      <w:r>
        <w:rPr>
          <w:rFonts w:hint="eastAsia" w:ascii="仿宋_GB2312" w:eastAsia="仿宋_GB2312"/>
          <w:iCs/>
          <w:sz w:val="32"/>
          <w:szCs w:val="32"/>
        </w:rPr>
        <w:t>第三方协助</w:t>
      </w:r>
      <w:r>
        <w:rPr>
          <w:rFonts w:hint="eastAsia" w:ascii="仿宋_GB2312" w:eastAsia="仿宋_GB2312"/>
          <w:iCs/>
          <w:sz w:val="32"/>
          <w:szCs w:val="32"/>
          <w:lang w:eastAsia="zh-CN"/>
        </w:rPr>
        <w:t>－</w:t>
      </w:r>
      <w:r>
        <w:rPr>
          <w:rFonts w:hint="eastAsia" w:ascii="仿宋_GB2312" w:eastAsia="仿宋_GB2312"/>
          <w:iCs/>
          <w:sz w:val="32"/>
          <w:szCs w:val="32"/>
        </w:rPr>
        <w:t>业务处室/单位发挥主体责任”，因项目为多年延续性项目，相应工作链条与机制较为顺畅，且各项工作中提出的问题均会征求业务处室或二级预算单位意见，并进行书面确认，进行报送主管领导或上党组会集体决策，2023年度主管领导及各业务处室/单位对财务综合服务相关工作整体较为满意，未收到相关投诉反馈，且审计、巡视工作也未发现违规问题。</w:t>
      </w:r>
    </w:p>
    <w:bookmarkEnd w:id="27"/>
    <w:bookmarkEnd w:id="47"/>
    <w:bookmarkEnd w:id="48"/>
    <w:p>
      <w:pPr>
        <w:adjustRightInd w:val="0"/>
        <w:snapToGrid w:val="0"/>
        <w:spacing w:line="560" w:lineRule="exact"/>
        <w:ind w:firstLine="640" w:firstLineChars="200"/>
        <w:outlineLvl w:val="0"/>
        <w:rPr>
          <w:rFonts w:ascii="Times New Roman" w:hAnsi="Times New Roman" w:eastAsia="黑体"/>
          <w:bCs/>
          <w:caps/>
          <w:sz w:val="32"/>
          <w:szCs w:val="32"/>
        </w:rPr>
      </w:pPr>
      <w:bookmarkStart w:id="50" w:name="_Toc167139779"/>
      <w:bookmarkStart w:id="51" w:name="_Toc17610"/>
      <w:r>
        <w:rPr>
          <w:rFonts w:ascii="Times New Roman" w:hAnsi="Times New Roman" w:eastAsia="黑体"/>
          <w:bCs/>
          <w:caps/>
          <w:sz w:val="32"/>
          <w:szCs w:val="32"/>
        </w:rPr>
        <w:t>五、发现的主要问题及原因分析</w:t>
      </w:r>
      <w:bookmarkEnd w:id="50"/>
    </w:p>
    <w:p>
      <w:pPr>
        <w:adjustRightInd w:val="0"/>
        <w:snapToGrid w:val="0"/>
        <w:spacing w:line="560" w:lineRule="exact"/>
        <w:ind w:firstLine="640" w:firstLineChars="200"/>
        <w:outlineLvl w:val="1"/>
        <w:rPr>
          <w:rFonts w:ascii="Times New Roman" w:hAnsi="Times New Roman" w:eastAsia="楷体"/>
          <w:bCs/>
          <w:caps/>
          <w:sz w:val="32"/>
          <w:szCs w:val="32"/>
        </w:rPr>
      </w:pPr>
      <w:bookmarkStart w:id="52" w:name="_Toc130166656"/>
      <w:bookmarkStart w:id="53" w:name="_Toc167139780"/>
      <w:bookmarkStart w:id="54" w:name="_Hlk136518577"/>
      <w:bookmarkStart w:id="55" w:name="_Toc20648"/>
      <w:r>
        <w:rPr>
          <w:rFonts w:hint="eastAsia" w:ascii="Times New Roman" w:hAnsi="Times New Roman" w:eastAsia="楷体"/>
          <w:bCs/>
          <w:caps/>
          <w:sz w:val="32"/>
          <w:szCs w:val="32"/>
        </w:rPr>
        <w:t>（一）</w:t>
      </w:r>
      <w:bookmarkEnd w:id="52"/>
      <w:r>
        <w:rPr>
          <w:rFonts w:hint="eastAsia" w:ascii="Times New Roman" w:hAnsi="Times New Roman" w:eastAsia="楷体"/>
          <w:bCs/>
          <w:caps/>
          <w:sz w:val="32"/>
          <w:szCs w:val="32"/>
        </w:rPr>
        <w:t>作为延续性项目，</w:t>
      </w:r>
      <w:r>
        <w:rPr>
          <w:rFonts w:hint="eastAsia" w:ascii="Times New Roman" w:hAnsi="Times New Roman" w:eastAsia="楷体" w:cs="Times New Roman"/>
          <w:bCs/>
          <w:caps/>
          <w:kern w:val="2"/>
          <w:sz w:val="32"/>
          <w:szCs w:val="32"/>
        </w:rPr>
        <w:t>项目管理过程中缺乏对管理经验的提炼与归纳</w:t>
      </w:r>
      <w:r>
        <w:rPr>
          <w:rFonts w:hint="eastAsia" w:ascii="Times New Roman" w:hAnsi="Times New Roman" w:eastAsia="楷体"/>
          <w:bCs/>
          <w:caps/>
          <w:sz w:val="32"/>
          <w:szCs w:val="32"/>
        </w:rPr>
        <w:t>，</w:t>
      </w:r>
      <w:r>
        <w:rPr>
          <w:rFonts w:hint="eastAsia" w:ascii="Times New Roman" w:hAnsi="Times New Roman" w:eastAsia="楷体" w:cs="Times New Roman"/>
          <w:bCs/>
          <w:caps/>
          <w:kern w:val="2"/>
          <w:sz w:val="32"/>
          <w:szCs w:val="32"/>
        </w:rPr>
        <w:t>项目验收成果材料可进一步完善</w:t>
      </w:r>
      <w:bookmarkEnd w:id="53"/>
      <w:r>
        <w:rPr>
          <w:rFonts w:ascii="Times New Roman" w:hAnsi="Times New Roman" w:eastAsia="楷体"/>
          <w:bCs/>
          <w:caps/>
          <w:sz w:val="32"/>
          <w:szCs w:val="32"/>
        </w:rPr>
        <w:t xml:space="preserve"> </w:t>
      </w:r>
    </w:p>
    <w:p>
      <w:pPr>
        <w:adjustRightInd w:val="0"/>
        <w:snapToGrid w:val="0"/>
        <w:spacing w:line="560" w:lineRule="exact"/>
        <w:ind w:firstLine="640" w:firstLineChars="200"/>
        <w:rPr>
          <w:rFonts w:ascii="仿宋_GB2312" w:hAnsi="宋体" w:eastAsia="仿宋_GB2312" w:cs="宋体"/>
          <w:b/>
          <w:bCs/>
          <w:kern w:val="0"/>
          <w:sz w:val="32"/>
          <w:szCs w:val="32"/>
        </w:rPr>
      </w:pPr>
      <w:r>
        <w:rPr>
          <w:rFonts w:hint="eastAsia" w:ascii="仿宋_GB2312" w:hAnsi="黑体" w:eastAsia="仿宋_GB2312"/>
          <w:iCs/>
          <w:sz w:val="32"/>
          <w:szCs w:val="32"/>
        </w:rPr>
        <w:t>一是项目已连</w:t>
      </w:r>
      <w:r>
        <w:rPr>
          <w:rFonts w:hint="eastAsia" w:ascii="仿宋_GB2312" w:hAnsi="宋体" w:eastAsia="仿宋_GB2312" w:cs="宋体"/>
          <w:bCs/>
          <w:kern w:val="0"/>
          <w:sz w:val="32"/>
          <w:szCs w:val="32"/>
        </w:rPr>
        <w:t>续实施多年，项目管理过程中缺乏对管理经验的提炼与归纳，6个子项实际工作开展、子项之间互相配合支撑及审验评估机制未进一步提炼，于书面文件中加以明确。二是部分子项验收成果资料完备性有待进一步提升，如，</w:t>
      </w:r>
      <w:r>
        <w:rPr>
          <w:rFonts w:hint="eastAsia" w:ascii="仿宋_GB2312" w:hAnsi="Times New Roman" w:eastAsia="仿宋_GB2312"/>
          <w:sz w:val="32"/>
          <w:szCs w:val="32"/>
        </w:rPr>
        <w:t>财务会计业务规范提升服务子项在履行验收程序时，对完成工作的成果清单细化不足</w:t>
      </w:r>
      <w:r>
        <w:rPr>
          <w:rFonts w:hint="eastAsia" w:ascii="仿宋_GB2312" w:hAnsi="宋体" w:eastAsia="仿宋_GB2312" w:cs="宋体"/>
          <w:bCs/>
          <w:kern w:val="0"/>
          <w:sz w:val="32"/>
          <w:szCs w:val="32"/>
        </w:rPr>
        <w:t>。</w:t>
      </w:r>
    </w:p>
    <w:p>
      <w:pPr>
        <w:adjustRightInd w:val="0"/>
        <w:snapToGrid w:val="0"/>
        <w:spacing w:line="560" w:lineRule="exact"/>
        <w:ind w:firstLine="640" w:firstLineChars="200"/>
        <w:outlineLvl w:val="1"/>
        <w:rPr>
          <w:rFonts w:ascii="Times New Roman" w:hAnsi="Times New Roman" w:eastAsia="楷体"/>
          <w:bCs/>
          <w:caps/>
          <w:sz w:val="32"/>
          <w:szCs w:val="32"/>
          <w:highlight w:val="none"/>
        </w:rPr>
      </w:pPr>
      <w:bookmarkStart w:id="56" w:name="_Toc167139781"/>
      <w:r>
        <w:rPr>
          <w:rFonts w:hint="eastAsia" w:ascii="Times New Roman" w:hAnsi="Times New Roman" w:eastAsia="楷体"/>
          <w:bCs/>
          <w:caps/>
          <w:sz w:val="32"/>
          <w:szCs w:val="32"/>
        </w:rPr>
        <w:t>（二）项目效益数据的提炼归集</w:t>
      </w:r>
      <w:r>
        <w:rPr>
          <w:rFonts w:hint="eastAsia" w:ascii="Times New Roman" w:hAnsi="Times New Roman" w:eastAsia="楷体"/>
          <w:bCs/>
          <w:caps/>
          <w:sz w:val="32"/>
          <w:szCs w:val="32"/>
          <w:highlight w:val="none"/>
        </w:rPr>
        <w:t>工作有待进一步加强</w:t>
      </w:r>
      <w:bookmarkEnd w:id="56"/>
    </w:p>
    <w:p>
      <w:pPr>
        <w:adjustRightInd w:val="0"/>
        <w:snapToGrid w:val="0"/>
        <w:spacing w:line="560" w:lineRule="exact"/>
        <w:ind w:firstLine="640" w:firstLineChars="200"/>
        <w:rPr>
          <w:rFonts w:ascii="仿宋_GB2312" w:hAnsi="黑体" w:eastAsia="仿宋_GB2312"/>
          <w:iCs/>
          <w:sz w:val="32"/>
          <w:szCs w:val="32"/>
        </w:rPr>
      </w:pPr>
      <w:r>
        <w:rPr>
          <w:rFonts w:hint="eastAsia" w:ascii="仿宋_GB2312" w:hAnsi="黑体" w:eastAsia="仿宋_GB2312"/>
          <w:iCs/>
          <w:sz w:val="32"/>
          <w:szCs w:val="32"/>
        </w:rPr>
        <w:t>项目实施完成后，针对项目整体开展的效益数据有待进一步统筹、持续追踪，与往年项目实施成效的比对数据有待进一步凸显。日常财务工作中相关问题及改进建议清单有待细化形成正式资料文件，供后续年度项目实施参考；事前绩效评估及预算评审工作两者之间的统筹有待进一步强化，针对内控、风险评估、绩效等工作提出问题的整改落实追踪情况有待进一步强化。</w:t>
      </w:r>
    </w:p>
    <w:bookmarkEnd w:id="51"/>
    <w:bookmarkEnd w:id="54"/>
    <w:bookmarkEnd w:id="55"/>
    <w:p>
      <w:pPr>
        <w:adjustRightInd w:val="0"/>
        <w:snapToGrid w:val="0"/>
        <w:spacing w:line="560" w:lineRule="exact"/>
        <w:ind w:firstLine="640" w:firstLineChars="200"/>
        <w:outlineLvl w:val="0"/>
        <w:rPr>
          <w:rFonts w:ascii="Times New Roman" w:hAnsi="Times New Roman" w:eastAsia="黑体"/>
          <w:bCs/>
          <w:caps/>
          <w:sz w:val="32"/>
          <w:szCs w:val="32"/>
        </w:rPr>
      </w:pPr>
      <w:bookmarkStart w:id="57" w:name="_Toc167139782"/>
      <w:bookmarkStart w:id="58" w:name="_Toc10937"/>
      <w:r>
        <w:rPr>
          <w:rFonts w:ascii="Times New Roman" w:hAnsi="Times New Roman" w:eastAsia="黑体"/>
          <w:bCs/>
          <w:caps/>
          <w:sz w:val="32"/>
          <w:szCs w:val="32"/>
        </w:rPr>
        <w:t>六、相关建议</w:t>
      </w:r>
      <w:bookmarkEnd w:id="57"/>
    </w:p>
    <w:p>
      <w:pPr>
        <w:adjustRightInd w:val="0"/>
        <w:snapToGrid w:val="0"/>
        <w:spacing w:line="560" w:lineRule="exact"/>
        <w:ind w:firstLine="640" w:firstLineChars="200"/>
        <w:outlineLvl w:val="1"/>
        <w:rPr>
          <w:rFonts w:ascii="楷体_GB2312" w:eastAsia="楷体_GB2312"/>
          <w:sz w:val="32"/>
          <w:szCs w:val="32"/>
        </w:rPr>
      </w:pPr>
      <w:bookmarkStart w:id="59" w:name="_Toc101193699"/>
      <w:bookmarkStart w:id="60" w:name="_Toc130166661"/>
      <w:bookmarkStart w:id="61" w:name="_Toc167139783"/>
      <w:bookmarkStart w:id="62" w:name="_Hlk136518791"/>
      <w:r>
        <w:rPr>
          <w:rFonts w:ascii="楷体_GB2312" w:eastAsia="楷体_GB2312"/>
          <w:sz w:val="32"/>
          <w:szCs w:val="32"/>
        </w:rPr>
        <w:t>（</w:t>
      </w:r>
      <w:r>
        <w:rPr>
          <w:rFonts w:hint="eastAsia" w:ascii="楷体_GB2312" w:eastAsia="楷体_GB2312"/>
          <w:sz w:val="32"/>
          <w:szCs w:val="32"/>
        </w:rPr>
        <w:t>一</w:t>
      </w:r>
      <w:r>
        <w:rPr>
          <w:rFonts w:ascii="楷体_GB2312" w:eastAsia="楷体_GB2312"/>
          <w:sz w:val="32"/>
          <w:szCs w:val="32"/>
        </w:rPr>
        <w:t>）</w:t>
      </w:r>
      <w:bookmarkEnd w:id="59"/>
      <w:bookmarkEnd w:id="60"/>
      <w:r>
        <w:rPr>
          <w:rFonts w:hint="eastAsia" w:ascii="楷体_GB2312" w:eastAsia="楷体_GB2312"/>
          <w:sz w:val="32"/>
          <w:szCs w:val="32"/>
        </w:rPr>
        <w:t>完善相应流程办法及成果验收材料，进一步</w:t>
      </w:r>
      <w:r>
        <w:rPr>
          <w:rFonts w:hint="eastAsia" w:ascii="楷体_GB2312" w:eastAsia="楷体_GB2312"/>
          <w:sz w:val="32"/>
          <w:szCs w:val="32"/>
          <w:lang w:eastAsia="zh-CN"/>
        </w:rPr>
        <w:t>加大</w:t>
      </w:r>
      <w:r>
        <w:rPr>
          <w:rFonts w:hint="eastAsia" w:ascii="楷体_GB2312" w:eastAsia="楷体_GB2312"/>
          <w:sz w:val="32"/>
          <w:szCs w:val="32"/>
        </w:rPr>
        <w:t>项目管控力度</w:t>
      </w:r>
      <w:bookmarkEnd w:id="61"/>
    </w:p>
    <w:p>
      <w:pPr>
        <w:adjustRightInd w:val="0"/>
        <w:snapToGrid w:val="0"/>
        <w:spacing w:line="560" w:lineRule="exact"/>
        <w:ind w:firstLine="640" w:firstLineChars="200"/>
        <w:rPr>
          <w:rFonts w:ascii="仿宋_GB2312" w:hAnsi="黑体" w:eastAsia="仿宋_GB2312"/>
          <w:iCs/>
          <w:sz w:val="32"/>
          <w:szCs w:val="32"/>
        </w:rPr>
      </w:pPr>
      <w:r>
        <w:rPr>
          <w:rFonts w:hint="eastAsia" w:ascii="仿宋_GB2312" w:hAnsi="黑体" w:eastAsia="仿宋_GB2312"/>
          <w:iCs/>
          <w:sz w:val="32"/>
          <w:szCs w:val="32"/>
        </w:rPr>
        <w:t>一是提炼管理工作经验、形成相应流程办法。全面收集与当前工作相关的所有资料，针对项目实施过程质量监控、验收、各子项工作配合开展与相互监督核验等关键步骤进行总结分析，提炼成具体的、可操作的经验点，设计清晰的工作流程图，明确各个步骤和环节，</w:t>
      </w:r>
      <w:r>
        <w:rPr>
          <w:rFonts w:ascii="仿宋_GB2312" w:hAnsi="黑体" w:eastAsia="仿宋_GB2312"/>
          <w:iCs/>
          <w:sz w:val="32"/>
          <w:szCs w:val="32"/>
        </w:rPr>
        <w:t>制定详细的操作规范</w:t>
      </w:r>
      <w:r>
        <w:rPr>
          <w:rFonts w:hint="eastAsia" w:ascii="仿宋_GB2312" w:hAnsi="黑体" w:eastAsia="仿宋_GB2312"/>
          <w:iCs/>
          <w:sz w:val="32"/>
          <w:szCs w:val="32"/>
        </w:rPr>
        <w:t>，确保项目各实施主体高效配合，共同</w:t>
      </w:r>
      <w:r>
        <w:rPr>
          <w:rFonts w:hint="eastAsia" w:ascii="仿宋_GB2312" w:hAnsi="黑体" w:eastAsia="仿宋_GB2312"/>
          <w:iCs/>
          <w:sz w:val="32"/>
          <w:szCs w:val="32"/>
          <w:lang w:eastAsia="zh-CN"/>
        </w:rPr>
        <w:t>助力</w:t>
      </w:r>
      <w:r>
        <w:rPr>
          <w:rFonts w:hint="eastAsia" w:ascii="仿宋_GB2312" w:hAnsi="黑体" w:eastAsia="仿宋_GB2312"/>
          <w:iCs/>
          <w:sz w:val="32"/>
          <w:szCs w:val="32"/>
        </w:rPr>
        <w:t>部门财务管理水平的提升。二是根据项目的目标要求及合同中约定的拟形成的工作成果，明确验收的标准和指标，完善成果验收材料，避免验收“漏项”，进一步</w:t>
      </w:r>
      <w:r>
        <w:rPr>
          <w:rFonts w:hint="eastAsia" w:ascii="仿宋_GB2312" w:hAnsi="黑体" w:eastAsia="仿宋_GB2312"/>
          <w:iCs/>
          <w:sz w:val="32"/>
          <w:szCs w:val="32"/>
          <w:lang w:eastAsia="zh-CN"/>
        </w:rPr>
        <w:t>加大</w:t>
      </w:r>
      <w:r>
        <w:rPr>
          <w:rFonts w:hint="eastAsia" w:ascii="仿宋_GB2312" w:hAnsi="黑体" w:eastAsia="仿宋_GB2312"/>
          <w:iCs/>
          <w:sz w:val="32"/>
          <w:szCs w:val="32"/>
        </w:rPr>
        <w:t>项目管控力度，从而切实提高项目执行的效率和质量。</w:t>
      </w:r>
    </w:p>
    <w:p>
      <w:pPr>
        <w:adjustRightInd w:val="0"/>
        <w:snapToGrid w:val="0"/>
        <w:spacing w:line="560" w:lineRule="exact"/>
        <w:ind w:firstLine="640" w:firstLineChars="200"/>
        <w:outlineLvl w:val="1"/>
        <w:rPr>
          <w:rFonts w:ascii="Times New Roman" w:hAnsi="Times New Roman" w:eastAsia="仿宋_GB2312"/>
          <w:caps/>
          <w:sz w:val="32"/>
          <w:szCs w:val="32"/>
        </w:rPr>
      </w:pPr>
      <w:bookmarkStart w:id="63" w:name="_Toc167139784"/>
      <w:r>
        <w:rPr>
          <w:rFonts w:ascii="Times New Roman" w:hAnsi="Times New Roman" w:eastAsia="楷体"/>
          <w:caps/>
          <w:sz w:val="32"/>
          <w:szCs w:val="32"/>
        </w:rPr>
        <w:t>（</w:t>
      </w:r>
      <w:r>
        <w:rPr>
          <w:rFonts w:hint="eastAsia" w:ascii="Times New Roman" w:hAnsi="Times New Roman" w:eastAsia="楷体"/>
          <w:caps/>
          <w:sz w:val="32"/>
          <w:szCs w:val="32"/>
        </w:rPr>
        <w:t>二</w:t>
      </w:r>
      <w:r>
        <w:rPr>
          <w:rFonts w:ascii="Times New Roman" w:hAnsi="Times New Roman" w:eastAsia="楷体"/>
          <w:caps/>
          <w:sz w:val="32"/>
          <w:szCs w:val="32"/>
        </w:rPr>
        <w:t>）</w:t>
      </w:r>
      <w:r>
        <w:rPr>
          <w:rFonts w:hint="eastAsia" w:ascii="Times New Roman" w:hAnsi="Times New Roman" w:eastAsia="楷体"/>
          <w:caps/>
          <w:sz w:val="32"/>
          <w:szCs w:val="32"/>
        </w:rPr>
        <w:t>加强效益数据挖掘分析，进一步彰显部门履职成效</w:t>
      </w:r>
      <w:bookmarkEnd w:id="63"/>
    </w:p>
    <w:p>
      <w:pPr>
        <w:adjustRightInd w:val="0"/>
        <w:snapToGrid w:val="0"/>
        <w:spacing w:line="560" w:lineRule="exact"/>
        <w:ind w:firstLine="640" w:firstLineChars="200"/>
        <w:rPr>
          <w:rFonts w:ascii="仿宋_GB2312" w:hAnsi="黑体" w:eastAsia="仿宋_GB2312"/>
          <w:iCs/>
          <w:sz w:val="32"/>
          <w:szCs w:val="32"/>
        </w:rPr>
      </w:pPr>
      <w:bookmarkStart w:id="64" w:name="_Hlk130165429"/>
      <w:r>
        <w:rPr>
          <w:rFonts w:hint="eastAsia" w:ascii="仿宋_GB2312" w:eastAsia="仿宋_GB2312"/>
          <w:sz w:val="32"/>
          <w:szCs w:val="32"/>
        </w:rPr>
        <w:t>建议注重对效益材料的进一步深挖归集及分析，</w:t>
      </w:r>
      <w:r>
        <w:rPr>
          <w:rFonts w:hint="eastAsia" w:ascii="仿宋_GB2312" w:hAnsi="黑体" w:eastAsia="仿宋_GB2312"/>
          <w:iCs/>
          <w:sz w:val="32"/>
          <w:szCs w:val="32"/>
        </w:rPr>
        <w:t>如，整体工作成效数据呈现、与往年效益数据的比对、年度间同类问题重复出现情况等，从而对项目实施多年的效益效果及年度效果形成清晰的认知，对今后的项目开展形成指导作用，促进项目效益的充分发挥。</w:t>
      </w:r>
    </w:p>
    <w:bookmarkEnd w:id="62"/>
    <w:bookmarkEnd w:id="64"/>
    <w:p>
      <w:pPr>
        <w:autoSpaceDE w:val="0"/>
        <w:autoSpaceDN w:val="0"/>
        <w:adjustRightInd w:val="0"/>
        <w:snapToGrid w:val="0"/>
        <w:spacing w:line="560" w:lineRule="exact"/>
        <w:ind w:firstLine="640" w:firstLineChars="200"/>
        <w:rPr>
          <w:rFonts w:ascii="Times New Roman" w:hAnsi="Times New Roman" w:eastAsia="黑体"/>
          <w:bCs/>
          <w:caps/>
          <w:sz w:val="32"/>
          <w:szCs w:val="32"/>
        </w:rPr>
      </w:pPr>
    </w:p>
    <w:bookmarkEnd w:id="58"/>
    <w:p>
      <w:pPr>
        <w:adjustRightInd w:val="0"/>
        <w:snapToGrid w:val="0"/>
        <w:spacing w:line="560" w:lineRule="exact"/>
        <w:ind w:left="1598" w:leftChars="304" w:hanging="960" w:hangingChars="300"/>
        <w:rPr>
          <w:rFonts w:ascii="仿宋_GB2312" w:hAnsi="Times New Roman" w:eastAsia="仿宋_GB2312"/>
          <w:bCs/>
          <w:caps/>
          <w:sz w:val="32"/>
          <w:szCs w:val="32"/>
        </w:rPr>
      </w:pPr>
      <w:r>
        <w:rPr>
          <w:rFonts w:hint="eastAsia" w:ascii="仿宋_GB2312" w:hAnsi="Times New Roman" w:eastAsia="仿宋_GB2312"/>
          <w:bCs/>
          <w:caps/>
          <w:sz w:val="32"/>
          <w:szCs w:val="32"/>
        </w:rPr>
        <w:t>附件：</w:t>
      </w:r>
      <w:r>
        <w:rPr>
          <w:rFonts w:ascii="仿宋_GB2312" w:hAnsi="Times New Roman" w:eastAsia="仿宋_GB2312"/>
          <w:bCs/>
          <w:caps/>
          <w:sz w:val="32"/>
          <w:szCs w:val="32"/>
        </w:rPr>
        <w:t>1.</w:t>
      </w:r>
      <w:r>
        <w:rPr>
          <w:rFonts w:hint="eastAsia" w:ascii="仿宋_GB2312" w:hAnsi="Times New Roman" w:eastAsia="仿宋_GB2312"/>
          <w:bCs/>
          <w:caps/>
          <w:sz w:val="32"/>
          <w:szCs w:val="32"/>
        </w:rPr>
        <w:t>项目绩效评价指标体系及评分表</w:t>
      </w:r>
    </w:p>
    <w:p>
      <w:pPr>
        <w:adjustRightInd w:val="0"/>
        <w:snapToGrid w:val="0"/>
        <w:spacing w:line="560" w:lineRule="exact"/>
        <w:ind w:left="1596" w:leftChars="760"/>
        <w:rPr>
          <w:rFonts w:ascii="仿宋_GB2312" w:hAnsi="Times New Roman" w:eastAsia="仿宋_GB2312"/>
          <w:bCs/>
          <w:caps/>
          <w:sz w:val="32"/>
          <w:szCs w:val="32"/>
        </w:rPr>
      </w:pPr>
      <w:r>
        <w:rPr>
          <w:rFonts w:ascii="仿宋_GB2312" w:hAnsi="Times New Roman" w:eastAsia="仿宋_GB2312"/>
          <w:bCs/>
          <w:caps/>
          <w:sz w:val="32"/>
          <w:szCs w:val="32"/>
        </w:rPr>
        <w:t>2.</w:t>
      </w:r>
      <w:r>
        <w:rPr>
          <w:rFonts w:hint="eastAsia" w:ascii="仿宋_GB2312" w:hAnsi="Times New Roman" w:eastAsia="仿宋_GB2312"/>
          <w:bCs/>
          <w:caps/>
          <w:sz w:val="32"/>
          <w:szCs w:val="32"/>
        </w:rPr>
        <w:t>专家及工作组情况表</w:t>
      </w:r>
    </w:p>
    <w:p>
      <w:pPr>
        <w:adjustRightInd w:val="0"/>
        <w:snapToGrid w:val="0"/>
        <w:spacing w:line="560" w:lineRule="exact"/>
        <w:ind w:left="1596" w:leftChars="760"/>
        <w:rPr>
          <w:rFonts w:ascii="仿宋_GB2312" w:hAnsi="Times New Roman" w:eastAsia="仿宋_GB2312"/>
          <w:bCs/>
          <w:caps/>
          <w:sz w:val="32"/>
          <w:szCs w:val="32"/>
        </w:rPr>
      </w:pPr>
      <w:r>
        <w:rPr>
          <w:rFonts w:hint="eastAsia" w:ascii="仿宋_GB2312" w:hAnsi="Times New Roman" w:eastAsia="仿宋_GB2312"/>
          <w:bCs/>
          <w:caps/>
          <w:sz w:val="32"/>
          <w:szCs w:val="32"/>
        </w:rPr>
        <w:t>3</w:t>
      </w:r>
      <w:r>
        <w:rPr>
          <w:rFonts w:ascii="仿宋_GB2312" w:hAnsi="Times New Roman" w:eastAsia="仿宋_GB2312"/>
          <w:bCs/>
          <w:caps/>
          <w:sz w:val="32"/>
          <w:szCs w:val="32"/>
        </w:rPr>
        <w:t>.</w:t>
      </w:r>
      <w:r>
        <w:rPr>
          <w:rFonts w:hint="eastAsia" w:ascii="仿宋_GB2312" w:hAnsi="Times New Roman" w:eastAsia="仿宋_GB2312"/>
          <w:bCs/>
          <w:caps/>
          <w:sz w:val="32"/>
          <w:szCs w:val="32"/>
        </w:rPr>
        <w:t>北京市项目支出绩效评价专家意见汇总书</w:t>
      </w:r>
      <w:bookmarkStart w:id="65" w:name="_GoBack"/>
      <w:bookmarkEnd w:id="65"/>
    </w:p>
    <w:p>
      <w:pPr>
        <w:autoSpaceDE w:val="0"/>
        <w:autoSpaceDN w:val="0"/>
        <w:adjustRightInd w:val="0"/>
        <w:snapToGrid w:val="0"/>
        <w:spacing w:line="560" w:lineRule="exact"/>
        <w:rPr>
          <w:rFonts w:ascii="仿宋_GB2312" w:hAnsi="Times New Roman" w:eastAsia="仿宋_GB2312"/>
          <w:kern w:val="0"/>
          <w:sz w:val="20"/>
          <w:szCs w:val="20"/>
        </w:rPr>
      </w:pPr>
    </w:p>
    <w:p>
      <w:pPr>
        <w:autoSpaceDE w:val="0"/>
        <w:autoSpaceDN w:val="0"/>
        <w:adjustRightInd w:val="0"/>
        <w:snapToGrid w:val="0"/>
        <w:spacing w:line="560" w:lineRule="exact"/>
        <w:rPr>
          <w:rFonts w:ascii="仿宋_GB2312" w:hAnsi="Times New Roman" w:eastAsia="仿宋_GB2312"/>
          <w:kern w:val="0"/>
          <w:sz w:val="32"/>
          <w:szCs w:val="32"/>
        </w:rPr>
      </w:pPr>
      <w:r>
        <w:rPr>
          <w:rFonts w:hint="eastAsia" w:ascii="仿宋_GB2312" w:hAnsi="Times New Roman" w:eastAsia="仿宋_GB2312"/>
          <w:kern w:val="0"/>
          <w:sz w:val="32"/>
          <w:szCs w:val="32"/>
        </w:rPr>
        <w:t>北京立瑞会计师事务所（普通合伙）</w:t>
      </w:r>
    </w:p>
    <w:tbl>
      <w:tblPr>
        <w:tblStyle w:val="12"/>
        <w:tblW w:w="0" w:type="auto"/>
        <w:tblInd w:w="0" w:type="dxa"/>
        <w:tblLayout w:type="autofit"/>
        <w:tblCellMar>
          <w:top w:w="0" w:type="dxa"/>
          <w:left w:w="108" w:type="dxa"/>
          <w:bottom w:w="0" w:type="dxa"/>
          <w:right w:w="108" w:type="dxa"/>
        </w:tblCellMar>
      </w:tblPr>
      <w:tblGrid>
        <w:gridCol w:w="5103"/>
        <w:gridCol w:w="3203"/>
      </w:tblGrid>
      <w:tr>
        <w:tblPrEx>
          <w:tblCellMar>
            <w:top w:w="0" w:type="dxa"/>
            <w:left w:w="108" w:type="dxa"/>
            <w:bottom w:w="0" w:type="dxa"/>
            <w:right w:w="108" w:type="dxa"/>
          </w:tblCellMar>
        </w:tblPrEx>
        <w:tc>
          <w:tcPr>
            <w:tcW w:w="5103" w:type="dxa"/>
          </w:tcPr>
          <w:p>
            <w:pPr>
              <w:adjustRightInd w:val="0"/>
              <w:snapToGrid w:val="0"/>
              <w:spacing w:line="560" w:lineRule="exact"/>
              <w:ind w:firstLine="1600" w:firstLineChars="500"/>
              <w:rPr>
                <w:rFonts w:ascii="仿宋_GB2312" w:hAnsi="Times New Roman" w:eastAsia="仿宋_GB2312"/>
                <w:iCs/>
                <w:sz w:val="32"/>
                <w:szCs w:val="32"/>
              </w:rPr>
            </w:pPr>
            <w:r>
              <w:rPr>
                <w:rFonts w:hint="eastAsia" w:ascii="仿宋_GB2312" w:hAnsi="Times New Roman" w:eastAsia="仿宋_GB2312"/>
                <w:iCs/>
                <w:sz w:val="32"/>
                <w:szCs w:val="32"/>
              </w:rPr>
              <w:t>（盖章）</w:t>
            </w:r>
          </w:p>
          <w:p>
            <w:pPr>
              <w:adjustRightInd w:val="0"/>
              <w:snapToGrid w:val="0"/>
              <w:spacing w:line="560" w:lineRule="exact"/>
              <w:ind w:firstLine="1280" w:firstLineChars="400"/>
              <w:rPr>
                <w:rFonts w:ascii="仿宋_GB2312" w:hAnsi="Times New Roman" w:eastAsia="仿宋_GB2312"/>
                <w:iCs/>
                <w:sz w:val="32"/>
                <w:szCs w:val="32"/>
              </w:rPr>
            </w:pPr>
            <w:r>
              <w:rPr>
                <w:rFonts w:ascii="仿宋_GB2312" w:hAnsi="Times New Roman" w:eastAsia="仿宋_GB2312"/>
                <w:iCs/>
                <w:sz w:val="32"/>
                <w:szCs w:val="32"/>
              </w:rPr>
              <w:t>202</w:t>
            </w:r>
            <w:r>
              <w:rPr>
                <w:rFonts w:hint="eastAsia" w:ascii="仿宋_GB2312" w:hAnsi="Times New Roman" w:eastAsia="仿宋_GB2312"/>
                <w:iCs/>
                <w:sz w:val="32"/>
                <w:szCs w:val="32"/>
              </w:rPr>
              <w:t>4年</w:t>
            </w:r>
            <w:r>
              <w:rPr>
                <w:rFonts w:ascii="仿宋_GB2312" w:hAnsi="Times New Roman" w:eastAsia="仿宋_GB2312"/>
                <w:iCs/>
                <w:sz w:val="32"/>
                <w:szCs w:val="32"/>
              </w:rPr>
              <w:t>5</w:t>
            </w:r>
            <w:r>
              <w:rPr>
                <w:rFonts w:hint="eastAsia" w:ascii="仿宋_GB2312" w:hAnsi="Times New Roman" w:eastAsia="仿宋_GB2312"/>
                <w:iCs/>
                <w:sz w:val="32"/>
                <w:szCs w:val="32"/>
              </w:rPr>
              <w:t>月15日</w:t>
            </w:r>
          </w:p>
        </w:tc>
        <w:tc>
          <w:tcPr>
            <w:tcW w:w="3203" w:type="dxa"/>
          </w:tcPr>
          <w:p>
            <w:pPr>
              <w:adjustRightInd w:val="0"/>
              <w:snapToGrid w:val="0"/>
              <w:spacing w:line="560" w:lineRule="exact"/>
              <w:ind w:right="1280" w:firstLine="640" w:firstLineChars="200"/>
              <w:rPr>
                <w:rFonts w:ascii="仿宋_GB2312" w:hAnsi="Times New Roman" w:eastAsia="仿宋_GB2312"/>
                <w:iCs/>
                <w:sz w:val="32"/>
                <w:szCs w:val="32"/>
              </w:rPr>
            </w:pPr>
            <w:r>
              <w:rPr>
                <w:rFonts w:ascii="仿宋_GB2312" w:hAnsi="Times New Roman" w:eastAsia="仿宋_GB2312"/>
                <w:iCs/>
                <w:sz w:val="32"/>
                <w:szCs w:val="32"/>
              </w:rPr>
              <w:drawing>
                <wp:anchor distT="0" distB="0" distL="114300" distR="114300" simplePos="0" relativeHeight="251659264" behindDoc="0" locked="0" layoutInCell="1" allowOverlap="1">
                  <wp:simplePos x="0" y="0"/>
                  <wp:positionH relativeFrom="column">
                    <wp:posOffset>1271270</wp:posOffset>
                  </wp:positionH>
                  <wp:positionV relativeFrom="paragraph">
                    <wp:posOffset>53975</wp:posOffset>
                  </wp:positionV>
                  <wp:extent cx="675640" cy="480695"/>
                  <wp:effectExtent l="0" t="0" r="0" b="0"/>
                  <wp:wrapSquare wrapText="bothSides"/>
                  <wp:docPr id="17685013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501304" name="图片 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75640" cy="480695"/>
                          </a:xfrm>
                          <a:prstGeom prst="rect">
                            <a:avLst/>
                          </a:prstGeom>
                        </pic:spPr>
                      </pic:pic>
                    </a:graphicData>
                  </a:graphic>
                </wp:anchor>
              </w:drawing>
            </w:r>
            <w:r>
              <w:rPr>
                <w:rFonts w:hint="eastAsia" w:ascii="仿宋_GB2312" w:hAnsi="Times New Roman" w:eastAsia="仿宋_GB2312"/>
                <w:iCs/>
                <w:sz w:val="32"/>
                <w:szCs w:val="32"/>
              </w:rPr>
              <w:t>主评人</w:t>
            </w:r>
          </w:p>
          <w:p>
            <w:pPr>
              <w:adjustRightInd w:val="0"/>
              <w:snapToGrid w:val="0"/>
              <w:spacing w:line="560" w:lineRule="exact"/>
              <w:ind w:right="1280" w:firstLine="640" w:firstLineChars="200"/>
              <w:rPr>
                <w:rFonts w:ascii="仿宋_GB2312" w:hAnsi="Times New Roman" w:eastAsia="仿宋_GB2312"/>
                <w:iCs/>
                <w:sz w:val="32"/>
                <w:szCs w:val="32"/>
              </w:rPr>
            </w:pPr>
            <w:r>
              <w:rPr>
                <w:rFonts w:hint="eastAsia" w:ascii="仿宋_GB2312" w:hAnsi="Times New Roman" w:eastAsia="仿宋_GB2312"/>
                <w:iCs/>
                <w:sz w:val="32"/>
                <w:szCs w:val="32"/>
              </w:rPr>
              <w:t>签字：</w:t>
            </w:r>
          </w:p>
        </w:tc>
      </w:tr>
      <w:tr>
        <w:tblPrEx>
          <w:tblCellMar>
            <w:top w:w="0" w:type="dxa"/>
            <w:left w:w="108" w:type="dxa"/>
            <w:bottom w:w="0" w:type="dxa"/>
            <w:right w:w="108" w:type="dxa"/>
          </w:tblCellMar>
        </w:tblPrEx>
        <w:tc>
          <w:tcPr>
            <w:tcW w:w="5103" w:type="dxa"/>
          </w:tcPr>
          <w:p>
            <w:pPr>
              <w:adjustRightInd w:val="0"/>
              <w:snapToGrid w:val="0"/>
              <w:spacing w:line="560" w:lineRule="exact"/>
              <w:ind w:firstLine="600" w:firstLineChars="300"/>
              <w:rPr>
                <w:rFonts w:ascii="仿宋_GB2312" w:hAnsi="Times New Roman" w:eastAsia="仿宋_GB2312"/>
                <w:iCs/>
                <w:sz w:val="20"/>
                <w:szCs w:val="20"/>
              </w:rPr>
            </w:pPr>
          </w:p>
          <w:p>
            <w:pPr>
              <w:adjustRightInd w:val="0"/>
              <w:snapToGrid w:val="0"/>
              <w:spacing w:line="560" w:lineRule="exact"/>
              <w:ind w:firstLine="960" w:firstLineChars="300"/>
              <w:rPr>
                <w:rFonts w:ascii="仿宋_GB2312" w:hAnsi="Times New Roman" w:eastAsia="仿宋_GB2312"/>
                <w:iCs/>
                <w:sz w:val="32"/>
                <w:szCs w:val="32"/>
              </w:rPr>
            </w:pPr>
            <w:r>
              <w:rPr>
                <w:rFonts w:hint="eastAsia" w:ascii="仿宋_GB2312" w:hAnsi="Times New Roman" w:eastAsia="仿宋_GB2312"/>
                <w:iCs/>
                <w:sz w:val="32"/>
                <w:szCs w:val="32"/>
              </w:rPr>
              <w:t>注册会计师签名：</w:t>
            </w:r>
          </w:p>
        </w:tc>
        <w:tc>
          <w:tcPr>
            <w:tcW w:w="3203" w:type="dxa"/>
          </w:tcPr>
          <w:p>
            <w:pPr>
              <w:adjustRightInd w:val="0"/>
              <w:snapToGrid w:val="0"/>
              <w:spacing w:line="560" w:lineRule="exact"/>
              <w:rPr>
                <w:rFonts w:ascii="仿宋_GB2312" w:hAnsi="Times New Roman" w:eastAsia="仿宋_GB2312"/>
                <w:iCs/>
                <w:sz w:val="32"/>
                <w:szCs w:val="32"/>
              </w:rPr>
            </w:pPr>
          </w:p>
        </w:tc>
      </w:tr>
      <w:tr>
        <w:tblPrEx>
          <w:tblCellMar>
            <w:top w:w="0" w:type="dxa"/>
            <w:left w:w="108" w:type="dxa"/>
            <w:bottom w:w="0" w:type="dxa"/>
            <w:right w:w="108" w:type="dxa"/>
          </w:tblCellMar>
        </w:tblPrEx>
        <w:trPr>
          <w:trHeight w:val="443" w:hRule="atLeast"/>
        </w:trPr>
        <w:tc>
          <w:tcPr>
            <w:tcW w:w="5103" w:type="dxa"/>
          </w:tcPr>
          <w:p>
            <w:pPr>
              <w:adjustRightInd w:val="0"/>
              <w:snapToGrid w:val="0"/>
              <w:spacing w:line="560" w:lineRule="exact"/>
              <w:rPr>
                <w:rFonts w:ascii="仿宋_GB2312" w:hAnsi="Times New Roman" w:eastAsia="仿宋_GB2312"/>
                <w:iCs/>
                <w:sz w:val="32"/>
                <w:szCs w:val="32"/>
              </w:rPr>
            </w:pPr>
          </w:p>
        </w:tc>
        <w:tc>
          <w:tcPr>
            <w:tcW w:w="3203" w:type="dxa"/>
          </w:tcPr>
          <w:p>
            <w:pPr>
              <w:adjustRightInd w:val="0"/>
              <w:snapToGrid w:val="0"/>
              <w:spacing w:line="560" w:lineRule="exact"/>
              <w:rPr>
                <w:rFonts w:ascii="仿宋_GB2312" w:hAnsi="Times New Roman" w:eastAsia="仿宋_GB2312"/>
                <w:iCs/>
                <w:sz w:val="32"/>
                <w:szCs w:val="32"/>
              </w:rPr>
            </w:pPr>
          </w:p>
        </w:tc>
      </w:tr>
    </w:tbl>
    <w:p>
      <w:pPr>
        <w:autoSpaceDE w:val="0"/>
        <w:autoSpaceDN w:val="0"/>
        <w:adjustRightInd w:val="0"/>
        <w:snapToGrid w:val="0"/>
        <w:spacing w:line="100" w:lineRule="exact"/>
        <w:rPr>
          <w:rFonts w:ascii="Times New Roman" w:hAnsi="Times New Roman"/>
        </w:rPr>
      </w:pPr>
    </w:p>
    <w:sectPr>
      <w:footerReference r:id="rId7" w:type="default"/>
      <w:footnotePr>
        <w:numFmt w:val="decimalEnclosedCircleChinese"/>
      </w:footnotePr>
      <w:type w:val="continuous"/>
      <w:pgSz w:w="11906" w:h="16838"/>
      <w:pgMar w:top="1440" w:right="1800" w:bottom="1440" w:left="1800" w:header="851" w:footer="992" w:gutter="0"/>
      <w:pgNumType w:start="4"/>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2010600030101010101"/>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modern"/>
    <w:pitch w:val="default"/>
    <w:sig w:usb0="00000000" w:usb1="0000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pPr>
  </w:p>
  <w:p>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480"/>
      <w:jc w:val="center"/>
      <w:rPr>
        <w:rFonts w:ascii="宋体" w:hAnsi="宋体"/>
        <w:sz w:val="28"/>
        <w:szCs w:val="28"/>
      </w:rPr>
    </w:pPr>
    <w:r>
      <w:rPr>
        <w:rFonts w:ascii="宋体" w:hAnsi="宋体"/>
        <w:sz w:val="28"/>
        <w:szCs w:val="28"/>
      </w:rPr>
      <w:fldChar w:fldCharType="begin"/>
    </w:r>
    <w:r>
      <w:rPr>
        <w:rFonts w:ascii="宋体" w:hAnsi="宋体"/>
        <w:sz w:val="28"/>
        <w:szCs w:val="28"/>
      </w:rPr>
      <w:instrText xml:space="preserve">PAGE   \* MERGEFORMAT</w:instrText>
    </w:r>
    <w:r>
      <w:rPr>
        <w:rFonts w:ascii="宋体" w:hAnsi="宋体"/>
        <w:sz w:val="28"/>
        <w:szCs w:val="28"/>
      </w:rPr>
      <w:fldChar w:fldCharType="separate"/>
    </w:r>
    <w:r>
      <w:rPr>
        <w:rFonts w:ascii="宋体" w:hAnsi="宋体"/>
        <w:sz w:val="28"/>
        <w:szCs w:val="28"/>
        <w:lang w:val="zh-CN"/>
      </w:rPr>
      <w:t>II</w:t>
    </w:r>
    <w:r>
      <w:rPr>
        <w:rFonts w:ascii="宋体" w:hAnsi="宋体"/>
        <w:sz w:val="28"/>
        <w:szCs w:val="28"/>
      </w:rPr>
      <w:fldChar w:fldCharType="end"/>
    </w:r>
  </w:p>
  <w:p>
    <w:pPr>
      <w:pStyle w:val="5"/>
      <w:rPr>
        <w:rFonts w:ascii="宋体" w:hAnsi="宋体"/>
        <w:sz w:val="28"/>
        <w:szCs w:val="28"/>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28313489"/>
      <w:docPartObj>
        <w:docPartGallery w:val="autotext"/>
      </w:docPartObj>
    </w:sdtPr>
    <w:sdtEndPr>
      <w:rPr>
        <w:rFonts w:asciiTheme="minorEastAsia" w:hAnsiTheme="minorEastAsia" w:eastAsiaTheme="minorEastAsia"/>
        <w:sz w:val="28"/>
        <w:szCs w:val="28"/>
      </w:rPr>
    </w:sdtEndPr>
    <w:sdtContent>
      <w:p>
        <w:pPr>
          <w:pStyle w:val="5"/>
          <w:jc w:val="center"/>
          <w:rPr>
            <w:rFonts w:asciiTheme="minorEastAsia" w:hAnsiTheme="minorEastAsia" w:eastAsiaTheme="minorEastAsia"/>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PAGE   \* MERGEFORMAT</w:instrText>
        </w:r>
        <w:r>
          <w:rPr>
            <w:rFonts w:asciiTheme="minorEastAsia" w:hAnsiTheme="minorEastAsia" w:eastAsiaTheme="minorEastAsia"/>
            <w:sz w:val="28"/>
            <w:szCs w:val="28"/>
          </w:rPr>
          <w:fldChar w:fldCharType="separate"/>
        </w:r>
        <w:r>
          <w:rPr>
            <w:rFonts w:asciiTheme="minorEastAsia" w:hAnsiTheme="minorEastAsia" w:eastAsiaTheme="minorEastAsia"/>
            <w:sz w:val="28"/>
            <w:szCs w:val="28"/>
            <w:lang w:val="zh-CN"/>
          </w:rPr>
          <w:t>16</w:t>
        </w:r>
        <w:r>
          <w:rPr>
            <w:rFonts w:asciiTheme="minorEastAsia" w:hAnsiTheme="minorEastAsia" w:eastAsiaTheme="minorEastAsia"/>
            <w:sz w:val="28"/>
            <w:szCs w:val="28"/>
          </w:rPr>
          <w:fldChar w:fldCharType="end"/>
        </w:r>
      </w:p>
    </w:sdtContent>
  </w:sdt>
  <w:p>
    <w:pPr>
      <w:pStyle w:val="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69395792"/>
      <w:docPartObj>
        <w:docPartGallery w:val="autotext"/>
      </w:docPartObj>
    </w:sdtPr>
    <w:sdtEndPr>
      <w:rPr>
        <w:rFonts w:asciiTheme="minorEastAsia" w:hAnsiTheme="minorEastAsia" w:eastAsiaTheme="minorEastAsia"/>
        <w:sz w:val="28"/>
        <w:szCs w:val="28"/>
      </w:rPr>
    </w:sdtEndPr>
    <w:sdtContent>
      <w:p>
        <w:pPr>
          <w:pStyle w:val="5"/>
          <w:jc w:val="center"/>
          <w:rPr>
            <w:rFonts w:asciiTheme="minorEastAsia" w:hAnsiTheme="minorEastAsia" w:eastAsiaTheme="minorEastAsia"/>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PAGE   \* MERGEFORMAT</w:instrText>
        </w:r>
        <w:r>
          <w:rPr>
            <w:rFonts w:asciiTheme="minorEastAsia" w:hAnsiTheme="minorEastAsia" w:eastAsiaTheme="minorEastAsia"/>
            <w:sz w:val="28"/>
            <w:szCs w:val="28"/>
          </w:rPr>
          <w:fldChar w:fldCharType="separate"/>
        </w:r>
        <w:r>
          <w:rPr>
            <w:rFonts w:asciiTheme="minorEastAsia" w:hAnsiTheme="minorEastAsia" w:eastAsiaTheme="minorEastAsia"/>
            <w:sz w:val="28"/>
            <w:szCs w:val="28"/>
            <w:lang w:val="zh-CN"/>
          </w:rPr>
          <w:t>16</w:t>
        </w:r>
        <w:r>
          <w:rPr>
            <w:rFonts w:asciiTheme="minorEastAsia" w:hAnsiTheme="minorEastAsia" w:eastAsiaTheme="minorEastAsia"/>
            <w:sz w:val="28"/>
            <w:szCs w:val="28"/>
          </w:rPr>
          <w:fldChar w:fldCharType="end"/>
        </w:r>
      </w:p>
    </w:sdtContent>
  </w:sdt>
  <w:p>
    <w:pPr>
      <w:pStyle w:val="5"/>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trackRevisions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A1NzhmZWFiZWZmMTBlNWE3MDE4NzgzODMzZGY3MjEifQ=="/>
  </w:docVars>
  <w:rsids>
    <w:rsidRoot w:val="00BA581F"/>
    <w:rsid w:val="00001C89"/>
    <w:rsid w:val="000020E2"/>
    <w:rsid w:val="00002C36"/>
    <w:rsid w:val="00005967"/>
    <w:rsid w:val="00007362"/>
    <w:rsid w:val="00013CBC"/>
    <w:rsid w:val="00015AE5"/>
    <w:rsid w:val="000226D8"/>
    <w:rsid w:val="00022885"/>
    <w:rsid w:val="000244D7"/>
    <w:rsid w:val="00026669"/>
    <w:rsid w:val="000312FE"/>
    <w:rsid w:val="00031B30"/>
    <w:rsid w:val="00032047"/>
    <w:rsid w:val="000326DD"/>
    <w:rsid w:val="000327CD"/>
    <w:rsid w:val="000329B6"/>
    <w:rsid w:val="00033117"/>
    <w:rsid w:val="000351A9"/>
    <w:rsid w:val="00037F41"/>
    <w:rsid w:val="0004040C"/>
    <w:rsid w:val="00041F60"/>
    <w:rsid w:val="00045D53"/>
    <w:rsid w:val="000469DB"/>
    <w:rsid w:val="00047F7E"/>
    <w:rsid w:val="00053F4C"/>
    <w:rsid w:val="0005414B"/>
    <w:rsid w:val="00054788"/>
    <w:rsid w:val="00054D82"/>
    <w:rsid w:val="00060021"/>
    <w:rsid w:val="000607E3"/>
    <w:rsid w:val="00061AD2"/>
    <w:rsid w:val="0006269B"/>
    <w:rsid w:val="00066C2B"/>
    <w:rsid w:val="00067359"/>
    <w:rsid w:val="00072782"/>
    <w:rsid w:val="000727AB"/>
    <w:rsid w:val="000751E6"/>
    <w:rsid w:val="00075380"/>
    <w:rsid w:val="0007771C"/>
    <w:rsid w:val="0008170B"/>
    <w:rsid w:val="00086291"/>
    <w:rsid w:val="000864E3"/>
    <w:rsid w:val="00086D28"/>
    <w:rsid w:val="000873BE"/>
    <w:rsid w:val="000877AE"/>
    <w:rsid w:val="0009031D"/>
    <w:rsid w:val="00090FFF"/>
    <w:rsid w:val="0009131B"/>
    <w:rsid w:val="00092AC4"/>
    <w:rsid w:val="0009390B"/>
    <w:rsid w:val="00097722"/>
    <w:rsid w:val="000977EE"/>
    <w:rsid w:val="000A0008"/>
    <w:rsid w:val="000A0476"/>
    <w:rsid w:val="000A3543"/>
    <w:rsid w:val="000A60BB"/>
    <w:rsid w:val="000A615A"/>
    <w:rsid w:val="000A7AA9"/>
    <w:rsid w:val="000B0DFA"/>
    <w:rsid w:val="000B324C"/>
    <w:rsid w:val="000B3321"/>
    <w:rsid w:val="000B390F"/>
    <w:rsid w:val="000B4E47"/>
    <w:rsid w:val="000B53B4"/>
    <w:rsid w:val="000B7108"/>
    <w:rsid w:val="000C09F5"/>
    <w:rsid w:val="000C33EB"/>
    <w:rsid w:val="000C3F35"/>
    <w:rsid w:val="000C4588"/>
    <w:rsid w:val="000C52F3"/>
    <w:rsid w:val="000C644C"/>
    <w:rsid w:val="000C73E2"/>
    <w:rsid w:val="000C749F"/>
    <w:rsid w:val="000C767A"/>
    <w:rsid w:val="000D0119"/>
    <w:rsid w:val="000D0D7B"/>
    <w:rsid w:val="000D2258"/>
    <w:rsid w:val="000D5A24"/>
    <w:rsid w:val="000E1076"/>
    <w:rsid w:val="000E48E3"/>
    <w:rsid w:val="000E54FC"/>
    <w:rsid w:val="000E5EA8"/>
    <w:rsid w:val="000E5FBE"/>
    <w:rsid w:val="000E70DC"/>
    <w:rsid w:val="000E73CB"/>
    <w:rsid w:val="000F0F75"/>
    <w:rsid w:val="000F2FEA"/>
    <w:rsid w:val="000F31A4"/>
    <w:rsid w:val="000F40F4"/>
    <w:rsid w:val="000F4641"/>
    <w:rsid w:val="000F5FAB"/>
    <w:rsid w:val="000F6528"/>
    <w:rsid w:val="001002E2"/>
    <w:rsid w:val="00101C54"/>
    <w:rsid w:val="0010292C"/>
    <w:rsid w:val="00102C98"/>
    <w:rsid w:val="00102FB1"/>
    <w:rsid w:val="00104FBD"/>
    <w:rsid w:val="001058E6"/>
    <w:rsid w:val="00106B3D"/>
    <w:rsid w:val="00106E5A"/>
    <w:rsid w:val="00110A9B"/>
    <w:rsid w:val="00111331"/>
    <w:rsid w:val="00111349"/>
    <w:rsid w:val="00111634"/>
    <w:rsid w:val="00111955"/>
    <w:rsid w:val="001127C7"/>
    <w:rsid w:val="00112D78"/>
    <w:rsid w:val="0011363D"/>
    <w:rsid w:val="00113C35"/>
    <w:rsid w:val="00113E42"/>
    <w:rsid w:val="00114B8A"/>
    <w:rsid w:val="00116F35"/>
    <w:rsid w:val="001221D7"/>
    <w:rsid w:val="001234D8"/>
    <w:rsid w:val="00125559"/>
    <w:rsid w:val="00126976"/>
    <w:rsid w:val="00127BE7"/>
    <w:rsid w:val="00130618"/>
    <w:rsid w:val="00131CDF"/>
    <w:rsid w:val="001326C4"/>
    <w:rsid w:val="0013272D"/>
    <w:rsid w:val="00135C83"/>
    <w:rsid w:val="0013758E"/>
    <w:rsid w:val="00137D28"/>
    <w:rsid w:val="00141A2E"/>
    <w:rsid w:val="00141D93"/>
    <w:rsid w:val="00142594"/>
    <w:rsid w:val="00142C92"/>
    <w:rsid w:val="001439C3"/>
    <w:rsid w:val="00145219"/>
    <w:rsid w:val="00145DC9"/>
    <w:rsid w:val="00146626"/>
    <w:rsid w:val="00146B43"/>
    <w:rsid w:val="00147BBF"/>
    <w:rsid w:val="00147C4E"/>
    <w:rsid w:val="0015343D"/>
    <w:rsid w:val="00155D44"/>
    <w:rsid w:val="00156206"/>
    <w:rsid w:val="00157B4B"/>
    <w:rsid w:val="00160D58"/>
    <w:rsid w:val="00163025"/>
    <w:rsid w:val="001631EE"/>
    <w:rsid w:val="00164D4E"/>
    <w:rsid w:val="00164FAA"/>
    <w:rsid w:val="00170719"/>
    <w:rsid w:val="001721EB"/>
    <w:rsid w:val="00173BAE"/>
    <w:rsid w:val="001748B7"/>
    <w:rsid w:val="00176BFC"/>
    <w:rsid w:val="001775BF"/>
    <w:rsid w:val="00185FFC"/>
    <w:rsid w:val="00187D17"/>
    <w:rsid w:val="00192D50"/>
    <w:rsid w:val="00193726"/>
    <w:rsid w:val="00194BC9"/>
    <w:rsid w:val="00195175"/>
    <w:rsid w:val="00195767"/>
    <w:rsid w:val="00195BBC"/>
    <w:rsid w:val="00196744"/>
    <w:rsid w:val="00197056"/>
    <w:rsid w:val="0019733F"/>
    <w:rsid w:val="001A0EFF"/>
    <w:rsid w:val="001A3CA9"/>
    <w:rsid w:val="001A5669"/>
    <w:rsid w:val="001A6D8A"/>
    <w:rsid w:val="001B30F9"/>
    <w:rsid w:val="001B33AE"/>
    <w:rsid w:val="001B3788"/>
    <w:rsid w:val="001B40FA"/>
    <w:rsid w:val="001B499A"/>
    <w:rsid w:val="001B7123"/>
    <w:rsid w:val="001B7E95"/>
    <w:rsid w:val="001C1ABF"/>
    <w:rsid w:val="001C2038"/>
    <w:rsid w:val="001C2FF2"/>
    <w:rsid w:val="001C3CB9"/>
    <w:rsid w:val="001C47F7"/>
    <w:rsid w:val="001C5294"/>
    <w:rsid w:val="001C593B"/>
    <w:rsid w:val="001C6023"/>
    <w:rsid w:val="001C617B"/>
    <w:rsid w:val="001C7BD3"/>
    <w:rsid w:val="001D2061"/>
    <w:rsid w:val="001D25D6"/>
    <w:rsid w:val="001D35F9"/>
    <w:rsid w:val="001D4C75"/>
    <w:rsid w:val="001D5B99"/>
    <w:rsid w:val="001E1118"/>
    <w:rsid w:val="001E59F7"/>
    <w:rsid w:val="001E6C3D"/>
    <w:rsid w:val="001E718B"/>
    <w:rsid w:val="001E7A34"/>
    <w:rsid w:val="001F0347"/>
    <w:rsid w:val="001F1675"/>
    <w:rsid w:val="001F6CCF"/>
    <w:rsid w:val="001F769B"/>
    <w:rsid w:val="00201347"/>
    <w:rsid w:val="002053E2"/>
    <w:rsid w:val="002053FC"/>
    <w:rsid w:val="002054F4"/>
    <w:rsid w:val="002056B7"/>
    <w:rsid w:val="00205878"/>
    <w:rsid w:val="002075A3"/>
    <w:rsid w:val="00207B7B"/>
    <w:rsid w:val="0021080F"/>
    <w:rsid w:val="00210B68"/>
    <w:rsid w:val="002112C2"/>
    <w:rsid w:val="002114BD"/>
    <w:rsid w:val="00212AE6"/>
    <w:rsid w:val="00213603"/>
    <w:rsid w:val="00215781"/>
    <w:rsid w:val="002157A1"/>
    <w:rsid w:val="0021581B"/>
    <w:rsid w:val="002170CA"/>
    <w:rsid w:val="002210DF"/>
    <w:rsid w:val="00227D72"/>
    <w:rsid w:val="002305EB"/>
    <w:rsid w:val="002308E6"/>
    <w:rsid w:val="00233C2D"/>
    <w:rsid w:val="00236B15"/>
    <w:rsid w:val="00237C20"/>
    <w:rsid w:val="002406A7"/>
    <w:rsid w:val="00240753"/>
    <w:rsid w:val="00241617"/>
    <w:rsid w:val="00242DB8"/>
    <w:rsid w:val="00243C07"/>
    <w:rsid w:val="00243EFC"/>
    <w:rsid w:val="002447FE"/>
    <w:rsid w:val="002468F5"/>
    <w:rsid w:val="00247E7A"/>
    <w:rsid w:val="0025092F"/>
    <w:rsid w:val="00253836"/>
    <w:rsid w:val="00253F91"/>
    <w:rsid w:val="00254BFE"/>
    <w:rsid w:val="002555F0"/>
    <w:rsid w:val="00255767"/>
    <w:rsid w:val="00261036"/>
    <w:rsid w:val="00262237"/>
    <w:rsid w:val="002625F1"/>
    <w:rsid w:val="002626D8"/>
    <w:rsid w:val="00264639"/>
    <w:rsid w:val="00265382"/>
    <w:rsid w:val="00266B96"/>
    <w:rsid w:val="002677EF"/>
    <w:rsid w:val="0027027D"/>
    <w:rsid w:val="0027072B"/>
    <w:rsid w:val="00272429"/>
    <w:rsid w:val="00275325"/>
    <w:rsid w:val="0027571C"/>
    <w:rsid w:val="0027685F"/>
    <w:rsid w:val="00276B56"/>
    <w:rsid w:val="00276D87"/>
    <w:rsid w:val="0027745E"/>
    <w:rsid w:val="00280C85"/>
    <w:rsid w:val="00281AC3"/>
    <w:rsid w:val="00283BF4"/>
    <w:rsid w:val="00284490"/>
    <w:rsid w:val="00284ECA"/>
    <w:rsid w:val="00287188"/>
    <w:rsid w:val="00294488"/>
    <w:rsid w:val="00295854"/>
    <w:rsid w:val="00295BC8"/>
    <w:rsid w:val="002A0A1F"/>
    <w:rsid w:val="002A0F52"/>
    <w:rsid w:val="002A1F04"/>
    <w:rsid w:val="002A2B2A"/>
    <w:rsid w:val="002A3A75"/>
    <w:rsid w:val="002B293E"/>
    <w:rsid w:val="002B2EE4"/>
    <w:rsid w:val="002B35C0"/>
    <w:rsid w:val="002B541D"/>
    <w:rsid w:val="002B54C5"/>
    <w:rsid w:val="002B59D6"/>
    <w:rsid w:val="002B5B2D"/>
    <w:rsid w:val="002B636E"/>
    <w:rsid w:val="002B6D9F"/>
    <w:rsid w:val="002B74E4"/>
    <w:rsid w:val="002B75F3"/>
    <w:rsid w:val="002B7BE6"/>
    <w:rsid w:val="002B7D10"/>
    <w:rsid w:val="002B7EEE"/>
    <w:rsid w:val="002C7DDF"/>
    <w:rsid w:val="002D0E7F"/>
    <w:rsid w:val="002D25A8"/>
    <w:rsid w:val="002D39B0"/>
    <w:rsid w:val="002D3BA0"/>
    <w:rsid w:val="002D5923"/>
    <w:rsid w:val="002D6053"/>
    <w:rsid w:val="002D6B0A"/>
    <w:rsid w:val="002D70C8"/>
    <w:rsid w:val="002E0976"/>
    <w:rsid w:val="002E2DDA"/>
    <w:rsid w:val="002E4F70"/>
    <w:rsid w:val="002E5282"/>
    <w:rsid w:val="002F02CB"/>
    <w:rsid w:val="002F055E"/>
    <w:rsid w:val="002F08B7"/>
    <w:rsid w:val="002F323E"/>
    <w:rsid w:val="002F68FB"/>
    <w:rsid w:val="002F7AA3"/>
    <w:rsid w:val="003011D5"/>
    <w:rsid w:val="00302278"/>
    <w:rsid w:val="0030527A"/>
    <w:rsid w:val="003059A1"/>
    <w:rsid w:val="00311A05"/>
    <w:rsid w:val="003143D1"/>
    <w:rsid w:val="00315236"/>
    <w:rsid w:val="00315E59"/>
    <w:rsid w:val="00315FA0"/>
    <w:rsid w:val="00316D45"/>
    <w:rsid w:val="0031720E"/>
    <w:rsid w:val="0031753C"/>
    <w:rsid w:val="0032487A"/>
    <w:rsid w:val="00324BC1"/>
    <w:rsid w:val="00326F7C"/>
    <w:rsid w:val="0032772D"/>
    <w:rsid w:val="00327D7D"/>
    <w:rsid w:val="003320F4"/>
    <w:rsid w:val="00333AAA"/>
    <w:rsid w:val="00337794"/>
    <w:rsid w:val="0034159A"/>
    <w:rsid w:val="003416B5"/>
    <w:rsid w:val="00342F10"/>
    <w:rsid w:val="003438BE"/>
    <w:rsid w:val="00344AB2"/>
    <w:rsid w:val="00347214"/>
    <w:rsid w:val="00350C59"/>
    <w:rsid w:val="00351E16"/>
    <w:rsid w:val="0035294F"/>
    <w:rsid w:val="00354FCC"/>
    <w:rsid w:val="00355F33"/>
    <w:rsid w:val="0035713A"/>
    <w:rsid w:val="0035731C"/>
    <w:rsid w:val="003573A8"/>
    <w:rsid w:val="003575E0"/>
    <w:rsid w:val="0036087D"/>
    <w:rsid w:val="003609E6"/>
    <w:rsid w:val="00363D51"/>
    <w:rsid w:val="00364332"/>
    <w:rsid w:val="00370FFD"/>
    <w:rsid w:val="00371328"/>
    <w:rsid w:val="00371700"/>
    <w:rsid w:val="00371A76"/>
    <w:rsid w:val="00371C5A"/>
    <w:rsid w:val="00372F4F"/>
    <w:rsid w:val="00373165"/>
    <w:rsid w:val="003745E1"/>
    <w:rsid w:val="0037511D"/>
    <w:rsid w:val="00375D53"/>
    <w:rsid w:val="00376964"/>
    <w:rsid w:val="0038125B"/>
    <w:rsid w:val="003817AD"/>
    <w:rsid w:val="0038205B"/>
    <w:rsid w:val="0038217C"/>
    <w:rsid w:val="00383985"/>
    <w:rsid w:val="00386F6C"/>
    <w:rsid w:val="003906DC"/>
    <w:rsid w:val="003918DC"/>
    <w:rsid w:val="00391958"/>
    <w:rsid w:val="00391975"/>
    <w:rsid w:val="00392BF2"/>
    <w:rsid w:val="0039616E"/>
    <w:rsid w:val="0039757A"/>
    <w:rsid w:val="003975D6"/>
    <w:rsid w:val="003976F1"/>
    <w:rsid w:val="0039790D"/>
    <w:rsid w:val="003A076A"/>
    <w:rsid w:val="003A09EB"/>
    <w:rsid w:val="003A1984"/>
    <w:rsid w:val="003A219C"/>
    <w:rsid w:val="003A3736"/>
    <w:rsid w:val="003A431C"/>
    <w:rsid w:val="003B0EA6"/>
    <w:rsid w:val="003B3418"/>
    <w:rsid w:val="003B77F2"/>
    <w:rsid w:val="003C1DCD"/>
    <w:rsid w:val="003C393A"/>
    <w:rsid w:val="003C3A01"/>
    <w:rsid w:val="003C3F01"/>
    <w:rsid w:val="003C6B9E"/>
    <w:rsid w:val="003C7733"/>
    <w:rsid w:val="003D058D"/>
    <w:rsid w:val="003D0DFE"/>
    <w:rsid w:val="003D1AA0"/>
    <w:rsid w:val="003D1BCD"/>
    <w:rsid w:val="003D34E7"/>
    <w:rsid w:val="003D47AD"/>
    <w:rsid w:val="003D5C06"/>
    <w:rsid w:val="003D64EB"/>
    <w:rsid w:val="003D6B32"/>
    <w:rsid w:val="003D6F23"/>
    <w:rsid w:val="003D726B"/>
    <w:rsid w:val="003E2285"/>
    <w:rsid w:val="003E2891"/>
    <w:rsid w:val="003E31A3"/>
    <w:rsid w:val="003E355E"/>
    <w:rsid w:val="003E549B"/>
    <w:rsid w:val="003E5A29"/>
    <w:rsid w:val="003E5B98"/>
    <w:rsid w:val="003E783B"/>
    <w:rsid w:val="003F4B7F"/>
    <w:rsid w:val="003F6047"/>
    <w:rsid w:val="003F72A3"/>
    <w:rsid w:val="003F7B1A"/>
    <w:rsid w:val="004000B1"/>
    <w:rsid w:val="00400739"/>
    <w:rsid w:val="00401648"/>
    <w:rsid w:val="00405F86"/>
    <w:rsid w:val="0041014B"/>
    <w:rsid w:val="00411029"/>
    <w:rsid w:val="004128C4"/>
    <w:rsid w:val="00412B3B"/>
    <w:rsid w:val="004134C3"/>
    <w:rsid w:val="00414691"/>
    <w:rsid w:val="00414746"/>
    <w:rsid w:val="00415E43"/>
    <w:rsid w:val="00417A68"/>
    <w:rsid w:val="0042029E"/>
    <w:rsid w:val="004214B6"/>
    <w:rsid w:val="00424E3B"/>
    <w:rsid w:val="00426FAC"/>
    <w:rsid w:val="00432A33"/>
    <w:rsid w:val="00432EB2"/>
    <w:rsid w:val="0043403A"/>
    <w:rsid w:val="00437EDD"/>
    <w:rsid w:val="004476A5"/>
    <w:rsid w:val="00450E2A"/>
    <w:rsid w:val="00450F38"/>
    <w:rsid w:val="00451CAC"/>
    <w:rsid w:val="00454973"/>
    <w:rsid w:val="00454A32"/>
    <w:rsid w:val="0045649E"/>
    <w:rsid w:val="004566F5"/>
    <w:rsid w:val="00457368"/>
    <w:rsid w:val="00461CC3"/>
    <w:rsid w:val="00461E45"/>
    <w:rsid w:val="00463B3F"/>
    <w:rsid w:val="00465F9A"/>
    <w:rsid w:val="0046728F"/>
    <w:rsid w:val="00471AF9"/>
    <w:rsid w:val="00473115"/>
    <w:rsid w:val="0047509F"/>
    <w:rsid w:val="00475E01"/>
    <w:rsid w:val="00482AE1"/>
    <w:rsid w:val="00483ADB"/>
    <w:rsid w:val="00484B5D"/>
    <w:rsid w:val="00485F03"/>
    <w:rsid w:val="004874BC"/>
    <w:rsid w:val="004925AB"/>
    <w:rsid w:val="00492F44"/>
    <w:rsid w:val="00493D34"/>
    <w:rsid w:val="00494C98"/>
    <w:rsid w:val="004968A5"/>
    <w:rsid w:val="0049785B"/>
    <w:rsid w:val="00497CD3"/>
    <w:rsid w:val="004A14A1"/>
    <w:rsid w:val="004A1856"/>
    <w:rsid w:val="004A2CF7"/>
    <w:rsid w:val="004A60EB"/>
    <w:rsid w:val="004A68A8"/>
    <w:rsid w:val="004A6BEA"/>
    <w:rsid w:val="004B309D"/>
    <w:rsid w:val="004B5D43"/>
    <w:rsid w:val="004B7090"/>
    <w:rsid w:val="004B7AB9"/>
    <w:rsid w:val="004C0F38"/>
    <w:rsid w:val="004C1524"/>
    <w:rsid w:val="004C1F67"/>
    <w:rsid w:val="004C3FF6"/>
    <w:rsid w:val="004C6A49"/>
    <w:rsid w:val="004D0C2A"/>
    <w:rsid w:val="004D0ECB"/>
    <w:rsid w:val="004D1319"/>
    <w:rsid w:val="004D1C4B"/>
    <w:rsid w:val="004D25D4"/>
    <w:rsid w:val="004D5669"/>
    <w:rsid w:val="004E15F1"/>
    <w:rsid w:val="004E5193"/>
    <w:rsid w:val="004E62ED"/>
    <w:rsid w:val="004E764C"/>
    <w:rsid w:val="004E7D38"/>
    <w:rsid w:val="004F0ADA"/>
    <w:rsid w:val="004F110F"/>
    <w:rsid w:val="004F153D"/>
    <w:rsid w:val="004F1C87"/>
    <w:rsid w:val="004F3973"/>
    <w:rsid w:val="004F77C7"/>
    <w:rsid w:val="0050186D"/>
    <w:rsid w:val="00504621"/>
    <w:rsid w:val="0050498C"/>
    <w:rsid w:val="0050795E"/>
    <w:rsid w:val="00511757"/>
    <w:rsid w:val="005121C6"/>
    <w:rsid w:val="0051439B"/>
    <w:rsid w:val="00520591"/>
    <w:rsid w:val="00521C72"/>
    <w:rsid w:val="005239C0"/>
    <w:rsid w:val="00524059"/>
    <w:rsid w:val="00524522"/>
    <w:rsid w:val="00526CFE"/>
    <w:rsid w:val="00530C5B"/>
    <w:rsid w:val="00530E57"/>
    <w:rsid w:val="00531206"/>
    <w:rsid w:val="005333C8"/>
    <w:rsid w:val="00534FC1"/>
    <w:rsid w:val="00535A6F"/>
    <w:rsid w:val="00535ABE"/>
    <w:rsid w:val="0053771D"/>
    <w:rsid w:val="00541927"/>
    <w:rsid w:val="0054201F"/>
    <w:rsid w:val="00542438"/>
    <w:rsid w:val="00544227"/>
    <w:rsid w:val="005451A2"/>
    <w:rsid w:val="0054640F"/>
    <w:rsid w:val="00547690"/>
    <w:rsid w:val="00547726"/>
    <w:rsid w:val="005478EA"/>
    <w:rsid w:val="00547BB9"/>
    <w:rsid w:val="00550128"/>
    <w:rsid w:val="005511D6"/>
    <w:rsid w:val="005519FF"/>
    <w:rsid w:val="00551EF5"/>
    <w:rsid w:val="0055422F"/>
    <w:rsid w:val="00554453"/>
    <w:rsid w:val="005552F4"/>
    <w:rsid w:val="005554DE"/>
    <w:rsid w:val="00556326"/>
    <w:rsid w:val="0055679F"/>
    <w:rsid w:val="00556E2F"/>
    <w:rsid w:val="005604B6"/>
    <w:rsid w:val="00562F33"/>
    <w:rsid w:val="00563330"/>
    <w:rsid w:val="00567F16"/>
    <w:rsid w:val="00570EA8"/>
    <w:rsid w:val="005711B5"/>
    <w:rsid w:val="00571586"/>
    <w:rsid w:val="005724B9"/>
    <w:rsid w:val="0057544C"/>
    <w:rsid w:val="00576C51"/>
    <w:rsid w:val="00581300"/>
    <w:rsid w:val="005833A4"/>
    <w:rsid w:val="00583960"/>
    <w:rsid w:val="00584186"/>
    <w:rsid w:val="00584968"/>
    <w:rsid w:val="00584A88"/>
    <w:rsid w:val="00585531"/>
    <w:rsid w:val="0058624D"/>
    <w:rsid w:val="005910FB"/>
    <w:rsid w:val="00592E1F"/>
    <w:rsid w:val="00593E2F"/>
    <w:rsid w:val="00594DE9"/>
    <w:rsid w:val="00596EC8"/>
    <w:rsid w:val="00596FB5"/>
    <w:rsid w:val="005A0092"/>
    <w:rsid w:val="005A28D2"/>
    <w:rsid w:val="005A2FF6"/>
    <w:rsid w:val="005A5F82"/>
    <w:rsid w:val="005A654B"/>
    <w:rsid w:val="005A6CE8"/>
    <w:rsid w:val="005B24B5"/>
    <w:rsid w:val="005B2BCC"/>
    <w:rsid w:val="005B4AF7"/>
    <w:rsid w:val="005B6CBF"/>
    <w:rsid w:val="005C2BB4"/>
    <w:rsid w:val="005C324C"/>
    <w:rsid w:val="005C5727"/>
    <w:rsid w:val="005C6883"/>
    <w:rsid w:val="005C6940"/>
    <w:rsid w:val="005C77C2"/>
    <w:rsid w:val="005C783E"/>
    <w:rsid w:val="005D18E6"/>
    <w:rsid w:val="005D1FA7"/>
    <w:rsid w:val="005D4D7D"/>
    <w:rsid w:val="005E2F60"/>
    <w:rsid w:val="005E36CC"/>
    <w:rsid w:val="005E3B9E"/>
    <w:rsid w:val="005E4185"/>
    <w:rsid w:val="005E49A4"/>
    <w:rsid w:val="005E506C"/>
    <w:rsid w:val="005E62EB"/>
    <w:rsid w:val="005E7FB1"/>
    <w:rsid w:val="005F0423"/>
    <w:rsid w:val="005F0646"/>
    <w:rsid w:val="005F1314"/>
    <w:rsid w:val="005F2D37"/>
    <w:rsid w:val="005F4653"/>
    <w:rsid w:val="005F47B3"/>
    <w:rsid w:val="005F5226"/>
    <w:rsid w:val="005F7220"/>
    <w:rsid w:val="00600EE5"/>
    <w:rsid w:val="0060166D"/>
    <w:rsid w:val="00602C24"/>
    <w:rsid w:val="006063EE"/>
    <w:rsid w:val="006076BC"/>
    <w:rsid w:val="0061027B"/>
    <w:rsid w:val="00611092"/>
    <w:rsid w:val="0061179E"/>
    <w:rsid w:val="006131FB"/>
    <w:rsid w:val="00613E90"/>
    <w:rsid w:val="006144AB"/>
    <w:rsid w:val="00616145"/>
    <w:rsid w:val="00621983"/>
    <w:rsid w:val="00621AA9"/>
    <w:rsid w:val="006224BD"/>
    <w:rsid w:val="00622BD8"/>
    <w:rsid w:val="0062326C"/>
    <w:rsid w:val="006256CF"/>
    <w:rsid w:val="00626A12"/>
    <w:rsid w:val="0062735C"/>
    <w:rsid w:val="00627AD5"/>
    <w:rsid w:val="00630968"/>
    <w:rsid w:val="00630A46"/>
    <w:rsid w:val="0063718B"/>
    <w:rsid w:val="00644500"/>
    <w:rsid w:val="006517B8"/>
    <w:rsid w:val="006529A7"/>
    <w:rsid w:val="0065349B"/>
    <w:rsid w:val="00655756"/>
    <w:rsid w:val="00656495"/>
    <w:rsid w:val="00656CE8"/>
    <w:rsid w:val="00657BCC"/>
    <w:rsid w:val="006638CF"/>
    <w:rsid w:val="00664F2D"/>
    <w:rsid w:val="00665640"/>
    <w:rsid w:val="0066617C"/>
    <w:rsid w:val="00666591"/>
    <w:rsid w:val="00666851"/>
    <w:rsid w:val="00667FB2"/>
    <w:rsid w:val="0067112D"/>
    <w:rsid w:val="00674335"/>
    <w:rsid w:val="00676B5A"/>
    <w:rsid w:val="006773CF"/>
    <w:rsid w:val="00680B30"/>
    <w:rsid w:val="00681507"/>
    <w:rsid w:val="00682B7D"/>
    <w:rsid w:val="00684704"/>
    <w:rsid w:val="00685FF4"/>
    <w:rsid w:val="00686972"/>
    <w:rsid w:val="00687701"/>
    <w:rsid w:val="006904F5"/>
    <w:rsid w:val="00690A3C"/>
    <w:rsid w:val="00691654"/>
    <w:rsid w:val="00691B5C"/>
    <w:rsid w:val="006920C2"/>
    <w:rsid w:val="00693620"/>
    <w:rsid w:val="00694306"/>
    <w:rsid w:val="006949A9"/>
    <w:rsid w:val="00694AB6"/>
    <w:rsid w:val="006967E1"/>
    <w:rsid w:val="006A0AAE"/>
    <w:rsid w:val="006A216D"/>
    <w:rsid w:val="006A2B33"/>
    <w:rsid w:val="006A3739"/>
    <w:rsid w:val="006A3C7B"/>
    <w:rsid w:val="006A48A4"/>
    <w:rsid w:val="006A7777"/>
    <w:rsid w:val="006B1012"/>
    <w:rsid w:val="006B4BAC"/>
    <w:rsid w:val="006B4D49"/>
    <w:rsid w:val="006B4EAA"/>
    <w:rsid w:val="006B75F0"/>
    <w:rsid w:val="006B792B"/>
    <w:rsid w:val="006C0A91"/>
    <w:rsid w:val="006C12E9"/>
    <w:rsid w:val="006C1945"/>
    <w:rsid w:val="006C33C3"/>
    <w:rsid w:val="006C36AC"/>
    <w:rsid w:val="006C37D8"/>
    <w:rsid w:val="006C4BAD"/>
    <w:rsid w:val="006C59B6"/>
    <w:rsid w:val="006C6EE8"/>
    <w:rsid w:val="006D017A"/>
    <w:rsid w:val="006D0221"/>
    <w:rsid w:val="006D09D4"/>
    <w:rsid w:val="006D11D9"/>
    <w:rsid w:val="006D303E"/>
    <w:rsid w:val="006D5866"/>
    <w:rsid w:val="006E3041"/>
    <w:rsid w:val="006E31E1"/>
    <w:rsid w:val="006E413E"/>
    <w:rsid w:val="006E642B"/>
    <w:rsid w:val="006E6F98"/>
    <w:rsid w:val="006E7066"/>
    <w:rsid w:val="006E7249"/>
    <w:rsid w:val="006E7CF8"/>
    <w:rsid w:val="006E7D50"/>
    <w:rsid w:val="006F2084"/>
    <w:rsid w:val="006F253E"/>
    <w:rsid w:val="006F3F0A"/>
    <w:rsid w:val="006F50AE"/>
    <w:rsid w:val="007008B1"/>
    <w:rsid w:val="00700C22"/>
    <w:rsid w:val="00703B92"/>
    <w:rsid w:val="007051E7"/>
    <w:rsid w:val="0070533D"/>
    <w:rsid w:val="0070576C"/>
    <w:rsid w:val="00712703"/>
    <w:rsid w:val="00713C09"/>
    <w:rsid w:val="007140F5"/>
    <w:rsid w:val="0071622D"/>
    <w:rsid w:val="007169FB"/>
    <w:rsid w:val="00716D33"/>
    <w:rsid w:val="00726D4D"/>
    <w:rsid w:val="00726D91"/>
    <w:rsid w:val="00727532"/>
    <w:rsid w:val="00730025"/>
    <w:rsid w:val="007302F6"/>
    <w:rsid w:val="00730609"/>
    <w:rsid w:val="0073154E"/>
    <w:rsid w:val="0073175F"/>
    <w:rsid w:val="00734279"/>
    <w:rsid w:val="00735916"/>
    <w:rsid w:val="00740118"/>
    <w:rsid w:val="00740239"/>
    <w:rsid w:val="00740B4A"/>
    <w:rsid w:val="00740CD5"/>
    <w:rsid w:val="00741644"/>
    <w:rsid w:val="00742771"/>
    <w:rsid w:val="0074299A"/>
    <w:rsid w:val="00743A77"/>
    <w:rsid w:val="007440D4"/>
    <w:rsid w:val="0074683C"/>
    <w:rsid w:val="007472E9"/>
    <w:rsid w:val="0074776D"/>
    <w:rsid w:val="007477FB"/>
    <w:rsid w:val="007505B8"/>
    <w:rsid w:val="00751B38"/>
    <w:rsid w:val="007525B6"/>
    <w:rsid w:val="007527C5"/>
    <w:rsid w:val="0075329E"/>
    <w:rsid w:val="00754BCA"/>
    <w:rsid w:val="00755267"/>
    <w:rsid w:val="00760B89"/>
    <w:rsid w:val="00761BA6"/>
    <w:rsid w:val="00765BB4"/>
    <w:rsid w:val="00766F38"/>
    <w:rsid w:val="0077061F"/>
    <w:rsid w:val="0077223F"/>
    <w:rsid w:val="007748B2"/>
    <w:rsid w:val="00776129"/>
    <w:rsid w:val="00776CB9"/>
    <w:rsid w:val="00777CA4"/>
    <w:rsid w:val="0078027C"/>
    <w:rsid w:val="00780B67"/>
    <w:rsid w:val="00783197"/>
    <w:rsid w:val="00783969"/>
    <w:rsid w:val="0078414E"/>
    <w:rsid w:val="007841C4"/>
    <w:rsid w:val="00784662"/>
    <w:rsid w:val="00785096"/>
    <w:rsid w:val="007870B5"/>
    <w:rsid w:val="00792D7A"/>
    <w:rsid w:val="00795950"/>
    <w:rsid w:val="0079620A"/>
    <w:rsid w:val="007963DA"/>
    <w:rsid w:val="0079667F"/>
    <w:rsid w:val="00797460"/>
    <w:rsid w:val="007A0824"/>
    <w:rsid w:val="007A12CF"/>
    <w:rsid w:val="007A233D"/>
    <w:rsid w:val="007A3EB4"/>
    <w:rsid w:val="007A40C4"/>
    <w:rsid w:val="007A496F"/>
    <w:rsid w:val="007A7962"/>
    <w:rsid w:val="007A7B9B"/>
    <w:rsid w:val="007B270A"/>
    <w:rsid w:val="007B4504"/>
    <w:rsid w:val="007C1427"/>
    <w:rsid w:val="007C35D4"/>
    <w:rsid w:val="007C5EA2"/>
    <w:rsid w:val="007C6471"/>
    <w:rsid w:val="007C6A97"/>
    <w:rsid w:val="007C6D30"/>
    <w:rsid w:val="007D0B36"/>
    <w:rsid w:val="007D0CCC"/>
    <w:rsid w:val="007D1102"/>
    <w:rsid w:val="007D2F33"/>
    <w:rsid w:val="007D40ED"/>
    <w:rsid w:val="007D47D1"/>
    <w:rsid w:val="007D763E"/>
    <w:rsid w:val="007E1287"/>
    <w:rsid w:val="007E1B33"/>
    <w:rsid w:val="007E36AE"/>
    <w:rsid w:val="007E4351"/>
    <w:rsid w:val="007E6079"/>
    <w:rsid w:val="007E60A8"/>
    <w:rsid w:val="007F38FC"/>
    <w:rsid w:val="007F3B1E"/>
    <w:rsid w:val="007F4305"/>
    <w:rsid w:val="007F537F"/>
    <w:rsid w:val="007F631D"/>
    <w:rsid w:val="008021BB"/>
    <w:rsid w:val="008036C3"/>
    <w:rsid w:val="00804282"/>
    <w:rsid w:val="008055C1"/>
    <w:rsid w:val="00806063"/>
    <w:rsid w:val="0081161A"/>
    <w:rsid w:val="008133AA"/>
    <w:rsid w:val="0081375B"/>
    <w:rsid w:val="00813F0B"/>
    <w:rsid w:val="00814276"/>
    <w:rsid w:val="008166C4"/>
    <w:rsid w:val="008168AC"/>
    <w:rsid w:val="00820E39"/>
    <w:rsid w:val="00820F7A"/>
    <w:rsid w:val="00821E67"/>
    <w:rsid w:val="00824CC5"/>
    <w:rsid w:val="00824E46"/>
    <w:rsid w:val="00826224"/>
    <w:rsid w:val="00827782"/>
    <w:rsid w:val="00830900"/>
    <w:rsid w:val="00832AD7"/>
    <w:rsid w:val="00833E5C"/>
    <w:rsid w:val="00833FA1"/>
    <w:rsid w:val="00836D92"/>
    <w:rsid w:val="00840226"/>
    <w:rsid w:val="00840ECE"/>
    <w:rsid w:val="00842771"/>
    <w:rsid w:val="008430BD"/>
    <w:rsid w:val="00850092"/>
    <w:rsid w:val="008509DF"/>
    <w:rsid w:val="00852E74"/>
    <w:rsid w:val="008547E8"/>
    <w:rsid w:val="00854B0B"/>
    <w:rsid w:val="008577A7"/>
    <w:rsid w:val="00860AA2"/>
    <w:rsid w:val="00861C44"/>
    <w:rsid w:val="008625F3"/>
    <w:rsid w:val="00863C88"/>
    <w:rsid w:val="00863D6E"/>
    <w:rsid w:val="00863E4A"/>
    <w:rsid w:val="008645DA"/>
    <w:rsid w:val="00864F41"/>
    <w:rsid w:val="00871176"/>
    <w:rsid w:val="008713C3"/>
    <w:rsid w:val="0087235B"/>
    <w:rsid w:val="00873794"/>
    <w:rsid w:val="008744C5"/>
    <w:rsid w:val="00875AB5"/>
    <w:rsid w:val="00876291"/>
    <w:rsid w:val="0087679E"/>
    <w:rsid w:val="008768E5"/>
    <w:rsid w:val="0087696A"/>
    <w:rsid w:val="0088325C"/>
    <w:rsid w:val="0088480A"/>
    <w:rsid w:val="008848E8"/>
    <w:rsid w:val="008857E9"/>
    <w:rsid w:val="008857F3"/>
    <w:rsid w:val="00890D9B"/>
    <w:rsid w:val="00892851"/>
    <w:rsid w:val="00893615"/>
    <w:rsid w:val="00894012"/>
    <w:rsid w:val="00895601"/>
    <w:rsid w:val="00896B9A"/>
    <w:rsid w:val="008970DB"/>
    <w:rsid w:val="0089798B"/>
    <w:rsid w:val="00897EC0"/>
    <w:rsid w:val="008A00E3"/>
    <w:rsid w:val="008A1E3A"/>
    <w:rsid w:val="008A33FB"/>
    <w:rsid w:val="008A3909"/>
    <w:rsid w:val="008A3D15"/>
    <w:rsid w:val="008A4144"/>
    <w:rsid w:val="008A421E"/>
    <w:rsid w:val="008A475C"/>
    <w:rsid w:val="008A6900"/>
    <w:rsid w:val="008B08B4"/>
    <w:rsid w:val="008B0FAD"/>
    <w:rsid w:val="008B4099"/>
    <w:rsid w:val="008B441F"/>
    <w:rsid w:val="008B4D49"/>
    <w:rsid w:val="008B55D1"/>
    <w:rsid w:val="008B6ECA"/>
    <w:rsid w:val="008B6FB6"/>
    <w:rsid w:val="008B7E26"/>
    <w:rsid w:val="008C204B"/>
    <w:rsid w:val="008C3C64"/>
    <w:rsid w:val="008C4326"/>
    <w:rsid w:val="008C4A6C"/>
    <w:rsid w:val="008C66EF"/>
    <w:rsid w:val="008C7CE0"/>
    <w:rsid w:val="008D1635"/>
    <w:rsid w:val="008D2088"/>
    <w:rsid w:val="008D22FB"/>
    <w:rsid w:val="008D2E95"/>
    <w:rsid w:val="008D4B84"/>
    <w:rsid w:val="008D5452"/>
    <w:rsid w:val="008D6F96"/>
    <w:rsid w:val="008E1117"/>
    <w:rsid w:val="008E320C"/>
    <w:rsid w:val="008E3641"/>
    <w:rsid w:val="008E421F"/>
    <w:rsid w:val="008E4E2E"/>
    <w:rsid w:val="008E5241"/>
    <w:rsid w:val="008E562B"/>
    <w:rsid w:val="008E5C53"/>
    <w:rsid w:val="008E704D"/>
    <w:rsid w:val="008E7310"/>
    <w:rsid w:val="008F1397"/>
    <w:rsid w:val="008F2A53"/>
    <w:rsid w:val="008F3026"/>
    <w:rsid w:val="008F5C2E"/>
    <w:rsid w:val="008F69EA"/>
    <w:rsid w:val="00903475"/>
    <w:rsid w:val="009074DF"/>
    <w:rsid w:val="0091216C"/>
    <w:rsid w:val="00912983"/>
    <w:rsid w:val="00913849"/>
    <w:rsid w:val="00913E36"/>
    <w:rsid w:val="00916485"/>
    <w:rsid w:val="00922F5E"/>
    <w:rsid w:val="00925B8E"/>
    <w:rsid w:val="00926B4E"/>
    <w:rsid w:val="009356D6"/>
    <w:rsid w:val="00936731"/>
    <w:rsid w:val="009367DC"/>
    <w:rsid w:val="00937592"/>
    <w:rsid w:val="009414CC"/>
    <w:rsid w:val="00941B7D"/>
    <w:rsid w:val="009421B6"/>
    <w:rsid w:val="00942831"/>
    <w:rsid w:val="00943AE7"/>
    <w:rsid w:val="00944E65"/>
    <w:rsid w:val="00944E8C"/>
    <w:rsid w:val="009450E3"/>
    <w:rsid w:val="009454D0"/>
    <w:rsid w:val="009465F6"/>
    <w:rsid w:val="00953722"/>
    <w:rsid w:val="00953C0F"/>
    <w:rsid w:val="00961AA5"/>
    <w:rsid w:val="00961E25"/>
    <w:rsid w:val="0096276D"/>
    <w:rsid w:val="009633CD"/>
    <w:rsid w:val="00970DBF"/>
    <w:rsid w:val="00973AE2"/>
    <w:rsid w:val="009754F2"/>
    <w:rsid w:val="00975F53"/>
    <w:rsid w:val="00977E59"/>
    <w:rsid w:val="00980EEF"/>
    <w:rsid w:val="009838CC"/>
    <w:rsid w:val="00983F28"/>
    <w:rsid w:val="00984E5A"/>
    <w:rsid w:val="00985C17"/>
    <w:rsid w:val="009867AE"/>
    <w:rsid w:val="009867DC"/>
    <w:rsid w:val="00992578"/>
    <w:rsid w:val="00993998"/>
    <w:rsid w:val="00996142"/>
    <w:rsid w:val="009968FA"/>
    <w:rsid w:val="009A0986"/>
    <w:rsid w:val="009A1D76"/>
    <w:rsid w:val="009A2429"/>
    <w:rsid w:val="009A371C"/>
    <w:rsid w:val="009A423A"/>
    <w:rsid w:val="009A6AAC"/>
    <w:rsid w:val="009B0B41"/>
    <w:rsid w:val="009B18CD"/>
    <w:rsid w:val="009B344D"/>
    <w:rsid w:val="009B3C20"/>
    <w:rsid w:val="009B4597"/>
    <w:rsid w:val="009B4B2C"/>
    <w:rsid w:val="009B507F"/>
    <w:rsid w:val="009B5C95"/>
    <w:rsid w:val="009B6C1B"/>
    <w:rsid w:val="009B7DE4"/>
    <w:rsid w:val="009C0D00"/>
    <w:rsid w:val="009C1873"/>
    <w:rsid w:val="009C2190"/>
    <w:rsid w:val="009C2743"/>
    <w:rsid w:val="009C3BAE"/>
    <w:rsid w:val="009C469F"/>
    <w:rsid w:val="009D14C3"/>
    <w:rsid w:val="009D3EC9"/>
    <w:rsid w:val="009D6280"/>
    <w:rsid w:val="009D6E5D"/>
    <w:rsid w:val="009D72B8"/>
    <w:rsid w:val="009E231D"/>
    <w:rsid w:val="009E4D5B"/>
    <w:rsid w:val="009F02F0"/>
    <w:rsid w:val="009F0C38"/>
    <w:rsid w:val="009F36D9"/>
    <w:rsid w:val="009F4C3F"/>
    <w:rsid w:val="009F51B1"/>
    <w:rsid w:val="009F75D9"/>
    <w:rsid w:val="00A018B0"/>
    <w:rsid w:val="00A034DA"/>
    <w:rsid w:val="00A03CBA"/>
    <w:rsid w:val="00A04C37"/>
    <w:rsid w:val="00A06351"/>
    <w:rsid w:val="00A06D15"/>
    <w:rsid w:val="00A06D98"/>
    <w:rsid w:val="00A126FA"/>
    <w:rsid w:val="00A1338A"/>
    <w:rsid w:val="00A15450"/>
    <w:rsid w:val="00A2191C"/>
    <w:rsid w:val="00A22BF7"/>
    <w:rsid w:val="00A23030"/>
    <w:rsid w:val="00A236C4"/>
    <w:rsid w:val="00A240CB"/>
    <w:rsid w:val="00A2743E"/>
    <w:rsid w:val="00A27A14"/>
    <w:rsid w:val="00A3015F"/>
    <w:rsid w:val="00A30A1E"/>
    <w:rsid w:val="00A30D46"/>
    <w:rsid w:val="00A31949"/>
    <w:rsid w:val="00A33FDB"/>
    <w:rsid w:val="00A3408A"/>
    <w:rsid w:val="00A353CB"/>
    <w:rsid w:val="00A356D6"/>
    <w:rsid w:val="00A36354"/>
    <w:rsid w:val="00A3775B"/>
    <w:rsid w:val="00A37AE2"/>
    <w:rsid w:val="00A40552"/>
    <w:rsid w:val="00A408E3"/>
    <w:rsid w:val="00A40997"/>
    <w:rsid w:val="00A41C88"/>
    <w:rsid w:val="00A4267E"/>
    <w:rsid w:val="00A44FE3"/>
    <w:rsid w:val="00A47AB6"/>
    <w:rsid w:val="00A53AB2"/>
    <w:rsid w:val="00A57049"/>
    <w:rsid w:val="00A6125C"/>
    <w:rsid w:val="00A6167D"/>
    <w:rsid w:val="00A61FE7"/>
    <w:rsid w:val="00A62F88"/>
    <w:rsid w:val="00A65778"/>
    <w:rsid w:val="00A65D51"/>
    <w:rsid w:val="00A72F47"/>
    <w:rsid w:val="00A733A1"/>
    <w:rsid w:val="00A73A73"/>
    <w:rsid w:val="00A76B40"/>
    <w:rsid w:val="00A773F5"/>
    <w:rsid w:val="00A80026"/>
    <w:rsid w:val="00A811CF"/>
    <w:rsid w:val="00A81DDA"/>
    <w:rsid w:val="00A83015"/>
    <w:rsid w:val="00A83E07"/>
    <w:rsid w:val="00A84B67"/>
    <w:rsid w:val="00A87D75"/>
    <w:rsid w:val="00A903D5"/>
    <w:rsid w:val="00A90B8A"/>
    <w:rsid w:val="00A90DEE"/>
    <w:rsid w:val="00A94848"/>
    <w:rsid w:val="00A9573F"/>
    <w:rsid w:val="00A95D77"/>
    <w:rsid w:val="00A97949"/>
    <w:rsid w:val="00AA010F"/>
    <w:rsid w:val="00AA035B"/>
    <w:rsid w:val="00AA16CE"/>
    <w:rsid w:val="00AA176C"/>
    <w:rsid w:val="00AA189F"/>
    <w:rsid w:val="00AA25C7"/>
    <w:rsid w:val="00AA35C8"/>
    <w:rsid w:val="00AA4AFB"/>
    <w:rsid w:val="00AA5D77"/>
    <w:rsid w:val="00AB0B83"/>
    <w:rsid w:val="00AB36FD"/>
    <w:rsid w:val="00AB421E"/>
    <w:rsid w:val="00AB4811"/>
    <w:rsid w:val="00AB4B9D"/>
    <w:rsid w:val="00AB4DC3"/>
    <w:rsid w:val="00AB538B"/>
    <w:rsid w:val="00AB62F3"/>
    <w:rsid w:val="00AB66BD"/>
    <w:rsid w:val="00AB6741"/>
    <w:rsid w:val="00AC055A"/>
    <w:rsid w:val="00AC09F5"/>
    <w:rsid w:val="00AC1F7B"/>
    <w:rsid w:val="00AC38A1"/>
    <w:rsid w:val="00AC58B2"/>
    <w:rsid w:val="00AC7DFB"/>
    <w:rsid w:val="00AD0144"/>
    <w:rsid w:val="00AD16E8"/>
    <w:rsid w:val="00AD33F9"/>
    <w:rsid w:val="00AD41E4"/>
    <w:rsid w:val="00AD5149"/>
    <w:rsid w:val="00AD59DE"/>
    <w:rsid w:val="00AD5C67"/>
    <w:rsid w:val="00AD65A5"/>
    <w:rsid w:val="00AE0605"/>
    <w:rsid w:val="00AE2412"/>
    <w:rsid w:val="00AE2520"/>
    <w:rsid w:val="00AE2B98"/>
    <w:rsid w:val="00AE2D56"/>
    <w:rsid w:val="00AE3693"/>
    <w:rsid w:val="00AF1433"/>
    <w:rsid w:val="00AF1BE5"/>
    <w:rsid w:val="00AF3237"/>
    <w:rsid w:val="00AF46CF"/>
    <w:rsid w:val="00AF550D"/>
    <w:rsid w:val="00AF5FB5"/>
    <w:rsid w:val="00AF7462"/>
    <w:rsid w:val="00AF78A1"/>
    <w:rsid w:val="00AF7CF5"/>
    <w:rsid w:val="00B0019A"/>
    <w:rsid w:val="00B0121B"/>
    <w:rsid w:val="00B014CA"/>
    <w:rsid w:val="00B046E3"/>
    <w:rsid w:val="00B07A9B"/>
    <w:rsid w:val="00B100B8"/>
    <w:rsid w:val="00B11740"/>
    <w:rsid w:val="00B11A0A"/>
    <w:rsid w:val="00B11C85"/>
    <w:rsid w:val="00B122EE"/>
    <w:rsid w:val="00B13090"/>
    <w:rsid w:val="00B135C5"/>
    <w:rsid w:val="00B13B54"/>
    <w:rsid w:val="00B163E5"/>
    <w:rsid w:val="00B22394"/>
    <w:rsid w:val="00B23AD8"/>
    <w:rsid w:val="00B23E8F"/>
    <w:rsid w:val="00B248E0"/>
    <w:rsid w:val="00B2698A"/>
    <w:rsid w:val="00B32EB9"/>
    <w:rsid w:val="00B36CC9"/>
    <w:rsid w:val="00B41755"/>
    <w:rsid w:val="00B43CA1"/>
    <w:rsid w:val="00B43F2E"/>
    <w:rsid w:val="00B44C49"/>
    <w:rsid w:val="00B44C76"/>
    <w:rsid w:val="00B471C6"/>
    <w:rsid w:val="00B5020D"/>
    <w:rsid w:val="00B5335B"/>
    <w:rsid w:val="00B56AD2"/>
    <w:rsid w:val="00B57B3E"/>
    <w:rsid w:val="00B60BBF"/>
    <w:rsid w:val="00B624D4"/>
    <w:rsid w:val="00B6782C"/>
    <w:rsid w:val="00B71ABB"/>
    <w:rsid w:val="00B7296B"/>
    <w:rsid w:val="00B72C69"/>
    <w:rsid w:val="00B73190"/>
    <w:rsid w:val="00B743BC"/>
    <w:rsid w:val="00B75D44"/>
    <w:rsid w:val="00B76636"/>
    <w:rsid w:val="00B76967"/>
    <w:rsid w:val="00B80930"/>
    <w:rsid w:val="00B80FEB"/>
    <w:rsid w:val="00B8125A"/>
    <w:rsid w:val="00B81E3F"/>
    <w:rsid w:val="00B85716"/>
    <w:rsid w:val="00B864CE"/>
    <w:rsid w:val="00B8677B"/>
    <w:rsid w:val="00B87F0E"/>
    <w:rsid w:val="00B9106E"/>
    <w:rsid w:val="00B9270D"/>
    <w:rsid w:val="00B93F30"/>
    <w:rsid w:val="00B95055"/>
    <w:rsid w:val="00B95E79"/>
    <w:rsid w:val="00B9619F"/>
    <w:rsid w:val="00B96357"/>
    <w:rsid w:val="00B96CB3"/>
    <w:rsid w:val="00B96F94"/>
    <w:rsid w:val="00BA0DF4"/>
    <w:rsid w:val="00BA1081"/>
    <w:rsid w:val="00BA2EA3"/>
    <w:rsid w:val="00BA40F4"/>
    <w:rsid w:val="00BA581F"/>
    <w:rsid w:val="00BA5AFA"/>
    <w:rsid w:val="00BA7766"/>
    <w:rsid w:val="00BB0239"/>
    <w:rsid w:val="00BB04B7"/>
    <w:rsid w:val="00BB2F67"/>
    <w:rsid w:val="00BB3F74"/>
    <w:rsid w:val="00BB4905"/>
    <w:rsid w:val="00BB53EA"/>
    <w:rsid w:val="00BB53F8"/>
    <w:rsid w:val="00BB5F86"/>
    <w:rsid w:val="00BB6359"/>
    <w:rsid w:val="00BB676F"/>
    <w:rsid w:val="00BB6E57"/>
    <w:rsid w:val="00BC0F44"/>
    <w:rsid w:val="00BC1204"/>
    <w:rsid w:val="00BC2830"/>
    <w:rsid w:val="00BC3423"/>
    <w:rsid w:val="00BC417F"/>
    <w:rsid w:val="00BC7562"/>
    <w:rsid w:val="00BC76FC"/>
    <w:rsid w:val="00BD0C9D"/>
    <w:rsid w:val="00BD27BB"/>
    <w:rsid w:val="00BD2CE4"/>
    <w:rsid w:val="00BD52A2"/>
    <w:rsid w:val="00BD5814"/>
    <w:rsid w:val="00BD6E35"/>
    <w:rsid w:val="00BE0EC0"/>
    <w:rsid w:val="00BE25A2"/>
    <w:rsid w:val="00BE4200"/>
    <w:rsid w:val="00BE4ACB"/>
    <w:rsid w:val="00BE69F7"/>
    <w:rsid w:val="00BE744A"/>
    <w:rsid w:val="00BF071E"/>
    <w:rsid w:val="00BF0B77"/>
    <w:rsid w:val="00BF1E84"/>
    <w:rsid w:val="00BF4E56"/>
    <w:rsid w:val="00BF5FD5"/>
    <w:rsid w:val="00C02565"/>
    <w:rsid w:val="00C026D0"/>
    <w:rsid w:val="00C03D99"/>
    <w:rsid w:val="00C06373"/>
    <w:rsid w:val="00C07CB8"/>
    <w:rsid w:val="00C10AA0"/>
    <w:rsid w:val="00C11A99"/>
    <w:rsid w:val="00C12276"/>
    <w:rsid w:val="00C13B79"/>
    <w:rsid w:val="00C13E86"/>
    <w:rsid w:val="00C149A1"/>
    <w:rsid w:val="00C14B3C"/>
    <w:rsid w:val="00C17C39"/>
    <w:rsid w:val="00C247DB"/>
    <w:rsid w:val="00C25B45"/>
    <w:rsid w:val="00C26EAC"/>
    <w:rsid w:val="00C27F56"/>
    <w:rsid w:val="00C300E1"/>
    <w:rsid w:val="00C30367"/>
    <w:rsid w:val="00C33A8A"/>
    <w:rsid w:val="00C3506A"/>
    <w:rsid w:val="00C36FA7"/>
    <w:rsid w:val="00C37E05"/>
    <w:rsid w:val="00C37FE6"/>
    <w:rsid w:val="00C41BDA"/>
    <w:rsid w:val="00C41D08"/>
    <w:rsid w:val="00C4218D"/>
    <w:rsid w:val="00C455FB"/>
    <w:rsid w:val="00C5041D"/>
    <w:rsid w:val="00C52B08"/>
    <w:rsid w:val="00C55422"/>
    <w:rsid w:val="00C665B8"/>
    <w:rsid w:val="00C66736"/>
    <w:rsid w:val="00C67EBD"/>
    <w:rsid w:val="00C7161C"/>
    <w:rsid w:val="00C716DC"/>
    <w:rsid w:val="00C72974"/>
    <w:rsid w:val="00C72A49"/>
    <w:rsid w:val="00C73364"/>
    <w:rsid w:val="00C73F38"/>
    <w:rsid w:val="00C750CF"/>
    <w:rsid w:val="00C75E00"/>
    <w:rsid w:val="00C76106"/>
    <w:rsid w:val="00C812BF"/>
    <w:rsid w:val="00C813C8"/>
    <w:rsid w:val="00C81E38"/>
    <w:rsid w:val="00C843F7"/>
    <w:rsid w:val="00C905B4"/>
    <w:rsid w:val="00C905F5"/>
    <w:rsid w:val="00C934C4"/>
    <w:rsid w:val="00C96F5C"/>
    <w:rsid w:val="00CA0435"/>
    <w:rsid w:val="00CA0F3B"/>
    <w:rsid w:val="00CA4293"/>
    <w:rsid w:val="00CA5C92"/>
    <w:rsid w:val="00CA61FB"/>
    <w:rsid w:val="00CA6C03"/>
    <w:rsid w:val="00CA7095"/>
    <w:rsid w:val="00CA782D"/>
    <w:rsid w:val="00CB03D5"/>
    <w:rsid w:val="00CB16AB"/>
    <w:rsid w:val="00CB239E"/>
    <w:rsid w:val="00CB3022"/>
    <w:rsid w:val="00CB33CD"/>
    <w:rsid w:val="00CB4136"/>
    <w:rsid w:val="00CB6260"/>
    <w:rsid w:val="00CB6593"/>
    <w:rsid w:val="00CC007E"/>
    <w:rsid w:val="00CC0153"/>
    <w:rsid w:val="00CC32A6"/>
    <w:rsid w:val="00CC5D8C"/>
    <w:rsid w:val="00CD069F"/>
    <w:rsid w:val="00CD1645"/>
    <w:rsid w:val="00CD713B"/>
    <w:rsid w:val="00CE05AF"/>
    <w:rsid w:val="00CE3049"/>
    <w:rsid w:val="00CE5459"/>
    <w:rsid w:val="00CE72AF"/>
    <w:rsid w:val="00CE72D2"/>
    <w:rsid w:val="00CF09E8"/>
    <w:rsid w:val="00CF68DF"/>
    <w:rsid w:val="00CF6C77"/>
    <w:rsid w:val="00CF7395"/>
    <w:rsid w:val="00CF768D"/>
    <w:rsid w:val="00CF79DE"/>
    <w:rsid w:val="00D026CB"/>
    <w:rsid w:val="00D02A38"/>
    <w:rsid w:val="00D041DE"/>
    <w:rsid w:val="00D054CC"/>
    <w:rsid w:val="00D05D27"/>
    <w:rsid w:val="00D17809"/>
    <w:rsid w:val="00D2013B"/>
    <w:rsid w:val="00D2113A"/>
    <w:rsid w:val="00D231F9"/>
    <w:rsid w:val="00D233A6"/>
    <w:rsid w:val="00D259AE"/>
    <w:rsid w:val="00D2622C"/>
    <w:rsid w:val="00D2661B"/>
    <w:rsid w:val="00D32742"/>
    <w:rsid w:val="00D33D70"/>
    <w:rsid w:val="00D33F47"/>
    <w:rsid w:val="00D342C7"/>
    <w:rsid w:val="00D34760"/>
    <w:rsid w:val="00D34A9B"/>
    <w:rsid w:val="00D353B9"/>
    <w:rsid w:val="00D360D1"/>
    <w:rsid w:val="00D376DD"/>
    <w:rsid w:val="00D379D2"/>
    <w:rsid w:val="00D379F9"/>
    <w:rsid w:val="00D41655"/>
    <w:rsid w:val="00D43798"/>
    <w:rsid w:val="00D45335"/>
    <w:rsid w:val="00D47AF4"/>
    <w:rsid w:val="00D51607"/>
    <w:rsid w:val="00D54B69"/>
    <w:rsid w:val="00D5794A"/>
    <w:rsid w:val="00D60136"/>
    <w:rsid w:val="00D62D24"/>
    <w:rsid w:val="00D67713"/>
    <w:rsid w:val="00D7652F"/>
    <w:rsid w:val="00D8111C"/>
    <w:rsid w:val="00D81395"/>
    <w:rsid w:val="00D8504C"/>
    <w:rsid w:val="00D86443"/>
    <w:rsid w:val="00D912F6"/>
    <w:rsid w:val="00D91695"/>
    <w:rsid w:val="00D9492E"/>
    <w:rsid w:val="00D96CE4"/>
    <w:rsid w:val="00DA1B4E"/>
    <w:rsid w:val="00DA1D6E"/>
    <w:rsid w:val="00DA3C9E"/>
    <w:rsid w:val="00DA6C8C"/>
    <w:rsid w:val="00DA7157"/>
    <w:rsid w:val="00DB08E8"/>
    <w:rsid w:val="00DB22C1"/>
    <w:rsid w:val="00DB2632"/>
    <w:rsid w:val="00DB2C4C"/>
    <w:rsid w:val="00DB3001"/>
    <w:rsid w:val="00DB6130"/>
    <w:rsid w:val="00DB7450"/>
    <w:rsid w:val="00DB758E"/>
    <w:rsid w:val="00DC2C3D"/>
    <w:rsid w:val="00DC3A69"/>
    <w:rsid w:val="00DC538E"/>
    <w:rsid w:val="00DC7A14"/>
    <w:rsid w:val="00DC7B6C"/>
    <w:rsid w:val="00DD0B96"/>
    <w:rsid w:val="00DD0E5C"/>
    <w:rsid w:val="00DD15A6"/>
    <w:rsid w:val="00DD3F49"/>
    <w:rsid w:val="00DD4FCD"/>
    <w:rsid w:val="00DD6796"/>
    <w:rsid w:val="00DE5003"/>
    <w:rsid w:val="00DE5D70"/>
    <w:rsid w:val="00DE7844"/>
    <w:rsid w:val="00DF11B5"/>
    <w:rsid w:val="00DF182A"/>
    <w:rsid w:val="00DF18F7"/>
    <w:rsid w:val="00DF1B1F"/>
    <w:rsid w:val="00DF3597"/>
    <w:rsid w:val="00E00305"/>
    <w:rsid w:val="00E00B06"/>
    <w:rsid w:val="00E01654"/>
    <w:rsid w:val="00E0310C"/>
    <w:rsid w:val="00E061CB"/>
    <w:rsid w:val="00E12575"/>
    <w:rsid w:val="00E15410"/>
    <w:rsid w:val="00E16506"/>
    <w:rsid w:val="00E169CE"/>
    <w:rsid w:val="00E176DD"/>
    <w:rsid w:val="00E179FB"/>
    <w:rsid w:val="00E20A6E"/>
    <w:rsid w:val="00E21CE5"/>
    <w:rsid w:val="00E25C4C"/>
    <w:rsid w:val="00E27315"/>
    <w:rsid w:val="00E27B04"/>
    <w:rsid w:val="00E31CB6"/>
    <w:rsid w:val="00E3360C"/>
    <w:rsid w:val="00E3429A"/>
    <w:rsid w:val="00E34C3D"/>
    <w:rsid w:val="00E3574C"/>
    <w:rsid w:val="00E35919"/>
    <w:rsid w:val="00E35BEB"/>
    <w:rsid w:val="00E362E5"/>
    <w:rsid w:val="00E363E5"/>
    <w:rsid w:val="00E36F99"/>
    <w:rsid w:val="00E41503"/>
    <w:rsid w:val="00E4173A"/>
    <w:rsid w:val="00E42AD8"/>
    <w:rsid w:val="00E442EA"/>
    <w:rsid w:val="00E44749"/>
    <w:rsid w:val="00E46B57"/>
    <w:rsid w:val="00E527C6"/>
    <w:rsid w:val="00E52D36"/>
    <w:rsid w:val="00E570E4"/>
    <w:rsid w:val="00E57169"/>
    <w:rsid w:val="00E57605"/>
    <w:rsid w:val="00E5797F"/>
    <w:rsid w:val="00E57A73"/>
    <w:rsid w:val="00E60241"/>
    <w:rsid w:val="00E63E67"/>
    <w:rsid w:val="00E702E9"/>
    <w:rsid w:val="00E70333"/>
    <w:rsid w:val="00E71DEF"/>
    <w:rsid w:val="00E723E0"/>
    <w:rsid w:val="00E73433"/>
    <w:rsid w:val="00E73DC2"/>
    <w:rsid w:val="00E746E3"/>
    <w:rsid w:val="00E74921"/>
    <w:rsid w:val="00E74A73"/>
    <w:rsid w:val="00E754BC"/>
    <w:rsid w:val="00E81E53"/>
    <w:rsid w:val="00E86465"/>
    <w:rsid w:val="00E875D0"/>
    <w:rsid w:val="00E87CC6"/>
    <w:rsid w:val="00E87EF4"/>
    <w:rsid w:val="00E927A4"/>
    <w:rsid w:val="00E92BDA"/>
    <w:rsid w:val="00E932E6"/>
    <w:rsid w:val="00E945A3"/>
    <w:rsid w:val="00E956EA"/>
    <w:rsid w:val="00E96883"/>
    <w:rsid w:val="00E96CE6"/>
    <w:rsid w:val="00E975F3"/>
    <w:rsid w:val="00EA02BA"/>
    <w:rsid w:val="00EA0C25"/>
    <w:rsid w:val="00EA0F59"/>
    <w:rsid w:val="00EA1182"/>
    <w:rsid w:val="00EA1AE6"/>
    <w:rsid w:val="00EA3597"/>
    <w:rsid w:val="00EA42DB"/>
    <w:rsid w:val="00EA5A8E"/>
    <w:rsid w:val="00EA7752"/>
    <w:rsid w:val="00EB0652"/>
    <w:rsid w:val="00EB150A"/>
    <w:rsid w:val="00EB4AD4"/>
    <w:rsid w:val="00EB4D92"/>
    <w:rsid w:val="00EB6D93"/>
    <w:rsid w:val="00EB6E6A"/>
    <w:rsid w:val="00EB7DC1"/>
    <w:rsid w:val="00EC076E"/>
    <w:rsid w:val="00EC1F2E"/>
    <w:rsid w:val="00EC25F7"/>
    <w:rsid w:val="00EC319B"/>
    <w:rsid w:val="00EC33F7"/>
    <w:rsid w:val="00EC53D5"/>
    <w:rsid w:val="00EC5554"/>
    <w:rsid w:val="00EC66CE"/>
    <w:rsid w:val="00EC6A07"/>
    <w:rsid w:val="00ED0E06"/>
    <w:rsid w:val="00ED157C"/>
    <w:rsid w:val="00ED16AF"/>
    <w:rsid w:val="00ED1963"/>
    <w:rsid w:val="00ED1AA3"/>
    <w:rsid w:val="00ED307B"/>
    <w:rsid w:val="00ED3A22"/>
    <w:rsid w:val="00ED791B"/>
    <w:rsid w:val="00EE02B8"/>
    <w:rsid w:val="00EE15BD"/>
    <w:rsid w:val="00EE21F7"/>
    <w:rsid w:val="00EE2AFD"/>
    <w:rsid w:val="00EE4578"/>
    <w:rsid w:val="00EE5629"/>
    <w:rsid w:val="00EE7466"/>
    <w:rsid w:val="00EF2158"/>
    <w:rsid w:val="00EF2DAD"/>
    <w:rsid w:val="00EF4A26"/>
    <w:rsid w:val="00EF6DC5"/>
    <w:rsid w:val="00EF72D4"/>
    <w:rsid w:val="00EF7566"/>
    <w:rsid w:val="00F005FB"/>
    <w:rsid w:val="00F00F97"/>
    <w:rsid w:val="00F01551"/>
    <w:rsid w:val="00F019DE"/>
    <w:rsid w:val="00F054A7"/>
    <w:rsid w:val="00F0601D"/>
    <w:rsid w:val="00F06A17"/>
    <w:rsid w:val="00F073AF"/>
    <w:rsid w:val="00F100EA"/>
    <w:rsid w:val="00F112EA"/>
    <w:rsid w:val="00F129AC"/>
    <w:rsid w:val="00F15820"/>
    <w:rsid w:val="00F16275"/>
    <w:rsid w:val="00F16814"/>
    <w:rsid w:val="00F1778B"/>
    <w:rsid w:val="00F21488"/>
    <w:rsid w:val="00F2330B"/>
    <w:rsid w:val="00F2568D"/>
    <w:rsid w:val="00F26A02"/>
    <w:rsid w:val="00F31089"/>
    <w:rsid w:val="00F31184"/>
    <w:rsid w:val="00F33B64"/>
    <w:rsid w:val="00F35150"/>
    <w:rsid w:val="00F357C8"/>
    <w:rsid w:val="00F36F41"/>
    <w:rsid w:val="00F37FD5"/>
    <w:rsid w:val="00F41546"/>
    <w:rsid w:val="00F4161A"/>
    <w:rsid w:val="00F42C3B"/>
    <w:rsid w:val="00F43291"/>
    <w:rsid w:val="00F44AB0"/>
    <w:rsid w:val="00F46222"/>
    <w:rsid w:val="00F466E6"/>
    <w:rsid w:val="00F53772"/>
    <w:rsid w:val="00F565E4"/>
    <w:rsid w:val="00F60331"/>
    <w:rsid w:val="00F62149"/>
    <w:rsid w:val="00F63D97"/>
    <w:rsid w:val="00F64CAD"/>
    <w:rsid w:val="00F66EF2"/>
    <w:rsid w:val="00F6713A"/>
    <w:rsid w:val="00F71EA8"/>
    <w:rsid w:val="00F7242E"/>
    <w:rsid w:val="00F74D4F"/>
    <w:rsid w:val="00F75D65"/>
    <w:rsid w:val="00F761F8"/>
    <w:rsid w:val="00F80213"/>
    <w:rsid w:val="00F81E69"/>
    <w:rsid w:val="00F826AA"/>
    <w:rsid w:val="00F83E31"/>
    <w:rsid w:val="00F848A5"/>
    <w:rsid w:val="00F851F9"/>
    <w:rsid w:val="00F90BB4"/>
    <w:rsid w:val="00F95FB1"/>
    <w:rsid w:val="00F96DC8"/>
    <w:rsid w:val="00F97FE5"/>
    <w:rsid w:val="00FA1A58"/>
    <w:rsid w:val="00FA2FD0"/>
    <w:rsid w:val="00FA50A2"/>
    <w:rsid w:val="00FA52B2"/>
    <w:rsid w:val="00FA5A3A"/>
    <w:rsid w:val="00FA684B"/>
    <w:rsid w:val="00FA7358"/>
    <w:rsid w:val="00FB00BF"/>
    <w:rsid w:val="00FB7548"/>
    <w:rsid w:val="00FB79BF"/>
    <w:rsid w:val="00FC0F22"/>
    <w:rsid w:val="00FC4833"/>
    <w:rsid w:val="00FC5D3A"/>
    <w:rsid w:val="00FC66CE"/>
    <w:rsid w:val="00FC6788"/>
    <w:rsid w:val="00FC7546"/>
    <w:rsid w:val="00FD2B38"/>
    <w:rsid w:val="00FD457B"/>
    <w:rsid w:val="00FD46BC"/>
    <w:rsid w:val="00FD69BB"/>
    <w:rsid w:val="00FD72EA"/>
    <w:rsid w:val="00FD7E67"/>
    <w:rsid w:val="00FD7FA3"/>
    <w:rsid w:val="00FE14EC"/>
    <w:rsid w:val="00FE197E"/>
    <w:rsid w:val="00FE25D8"/>
    <w:rsid w:val="00FE26EF"/>
    <w:rsid w:val="00FE2D0F"/>
    <w:rsid w:val="00FE2FEE"/>
    <w:rsid w:val="00FE48BD"/>
    <w:rsid w:val="00FE6EEB"/>
    <w:rsid w:val="00FE77FE"/>
    <w:rsid w:val="00FF10F2"/>
    <w:rsid w:val="00FF13BC"/>
    <w:rsid w:val="00FF16C8"/>
    <w:rsid w:val="00FF3B2B"/>
    <w:rsid w:val="00FF469A"/>
    <w:rsid w:val="00FF47F4"/>
    <w:rsid w:val="00FF5530"/>
    <w:rsid w:val="00FF57E7"/>
    <w:rsid w:val="00FF77F7"/>
    <w:rsid w:val="01043A7E"/>
    <w:rsid w:val="013144C5"/>
    <w:rsid w:val="03D86790"/>
    <w:rsid w:val="05080A43"/>
    <w:rsid w:val="068F2DEE"/>
    <w:rsid w:val="08AB2BFF"/>
    <w:rsid w:val="09013EC2"/>
    <w:rsid w:val="090F28FE"/>
    <w:rsid w:val="09E17B81"/>
    <w:rsid w:val="09EB57EB"/>
    <w:rsid w:val="0A6730CC"/>
    <w:rsid w:val="0B682C16"/>
    <w:rsid w:val="0C070965"/>
    <w:rsid w:val="0C423601"/>
    <w:rsid w:val="0CD600FA"/>
    <w:rsid w:val="0D693143"/>
    <w:rsid w:val="0E586593"/>
    <w:rsid w:val="0E9C7BF2"/>
    <w:rsid w:val="0ECB2357"/>
    <w:rsid w:val="0F1412FB"/>
    <w:rsid w:val="0FC14674"/>
    <w:rsid w:val="0FC55939"/>
    <w:rsid w:val="101853D5"/>
    <w:rsid w:val="10DF0CC4"/>
    <w:rsid w:val="11426AC1"/>
    <w:rsid w:val="12147FD3"/>
    <w:rsid w:val="12167FA3"/>
    <w:rsid w:val="16FE76AB"/>
    <w:rsid w:val="17F236A0"/>
    <w:rsid w:val="185B0E56"/>
    <w:rsid w:val="1B10257A"/>
    <w:rsid w:val="1B366E72"/>
    <w:rsid w:val="1CF67364"/>
    <w:rsid w:val="1D961578"/>
    <w:rsid w:val="1E824195"/>
    <w:rsid w:val="1EF42AE0"/>
    <w:rsid w:val="1EF7705C"/>
    <w:rsid w:val="1F714B2B"/>
    <w:rsid w:val="224203F0"/>
    <w:rsid w:val="224415B6"/>
    <w:rsid w:val="228A18FB"/>
    <w:rsid w:val="23320C44"/>
    <w:rsid w:val="23D46097"/>
    <w:rsid w:val="24191D9C"/>
    <w:rsid w:val="24AD70B3"/>
    <w:rsid w:val="25572FE4"/>
    <w:rsid w:val="2670233C"/>
    <w:rsid w:val="26BF3336"/>
    <w:rsid w:val="27F925EC"/>
    <w:rsid w:val="28815245"/>
    <w:rsid w:val="293E6A9A"/>
    <w:rsid w:val="2BDD44C7"/>
    <w:rsid w:val="2C8D605C"/>
    <w:rsid w:val="2DE730BF"/>
    <w:rsid w:val="2E0A3190"/>
    <w:rsid w:val="2F09600A"/>
    <w:rsid w:val="2F2730DD"/>
    <w:rsid w:val="331567DD"/>
    <w:rsid w:val="33F5561A"/>
    <w:rsid w:val="34ED3F25"/>
    <w:rsid w:val="358C0E03"/>
    <w:rsid w:val="37A371DC"/>
    <w:rsid w:val="3A1C29BC"/>
    <w:rsid w:val="3A752BCC"/>
    <w:rsid w:val="3B9904DA"/>
    <w:rsid w:val="3C377541"/>
    <w:rsid w:val="3D9E34D7"/>
    <w:rsid w:val="3DC83684"/>
    <w:rsid w:val="3E6C34D4"/>
    <w:rsid w:val="3E7D778B"/>
    <w:rsid w:val="40BA6ECE"/>
    <w:rsid w:val="420D57DD"/>
    <w:rsid w:val="42271E8D"/>
    <w:rsid w:val="42EF79EC"/>
    <w:rsid w:val="43215911"/>
    <w:rsid w:val="437F96F6"/>
    <w:rsid w:val="43F362EE"/>
    <w:rsid w:val="446B250C"/>
    <w:rsid w:val="44D62436"/>
    <w:rsid w:val="45384EDD"/>
    <w:rsid w:val="458D3609"/>
    <w:rsid w:val="460739A8"/>
    <w:rsid w:val="470E2FCC"/>
    <w:rsid w:val="47244631"/>
    <w:rsid w:val="4A487B96"/>
    <w:rsid w:val="4AD03647"/>
    <w:rsid w:val="4AE96CCB"/>
    <w:rsid w:val="4B0C247A"/>
    <w:rsid w:val="4B312E03"/>
    <w:rsid w:val="4B9470C3"/>
    <w:rsid w:val="4C506F9E"/>
    <w:rsid w:val="4C6A2EEE"/>
    <w:rsid w:val="4C9F5C0A"/>
    <w:rsid w:val="4D1F6A42"/>
    <w:rsid w:val="4D316AC8"/>
    <w:rsid w:val="4E175B2B"/>
    <w:rsid w:val="4F342392"/>
    <w:rsid w:val="50044402"/>
    <w:rsid w:val="52EF2C45"/>
    <w:rsid w:val="532C4E91"/>
    <w:rsid w:val="53D43A2C"/>
    <w:rsid w:val="53FF78B2"/>
    <w:rsid w:val="54084A14"/>
    <w:rsid w:val="59BB367F"/>
    <w:rsid w:val="5AA46E08"/>
    <w:rsid w:val="5AF50B94"/>
    <w:rsid w:val="5D762921"/>
    <w:rsid w:val="5D8C06B7"/>
    <w:rsid w:val="5D8E3014"/>
    <w:rsid w:val="5DD006EE"/>
    <w:rsid w:val="5EBD7B2B"/>
    <w:rsid w:val="5EFB2AC3"/>
    <w:rsid w:val="5F2513D8"/>
    <w:rsid w:val="604B2DDF"/>
    <w:rsid w:val="60800B2D"/>
    <w:rsid w:val="610A34FD"/>
    <w:rsid w:val="61103506"/>
    <w:rsid w:val="62262C33"/>
    <w:rsid w:val="637B6DD1"/>
    <w:rsid w:val="64A30292"/>
    <w:rsid w:val="64E21129"/>
    <w:rsid w:val="651A7888"/>
    <w:rsid w:val="65907FB7"/>
    <w:rsid w:val="66781691"/>
    <w:rsid w:val="68A652EE"/>
    <w:rsid w:val="6B661248"/>
    <w:rsid w:val="6C737B9F"/>
    <w:rsid w:val="6EA63A2B"/>
    <w:rsid w:val="6F8F5C05"/>
    <w:rsid w:val="6F967FBD"/>
    <w:rsid w:val="70075D23"/>
    <w:rsid w:val="71A6648D"/>
    <w:rsid w:val="71E271F8"/>
    <w:rsid w:val="73861730"/>
    <w:rsid w:val="73FB0A6B"/>
    <w:rsid w:val="74117AF4"/>
    <w:rsid w:val="74343D51"/>
    <w:rsid w:val="747E4895"/>
    <w:rsid w:val="754D08F8"/>
    <w:rsid w:val="76C653B2"/>
    <w:rsid w:val="76FA5A50"/>
    <w:rsid w:val="77177CA6"/>
    <w:rsid w:val="7742166B"/>
    <w:rsid w:val="784226CD"/>
    <w:rsid w:val="784B7D33"/>
    <w:rsid w:val="78EC3DFE"/>
    <w:rsid w:val="79B373D8"/>
    <w:rsid w:val="7A093204"/>
    <w:rsid w:val="7A55716E"/>
    <w:rsid w:val="7A804280"/>
    <w:rsid w:val="7B546D9E"/>
    <w:rsid w:val="7B936AB8"/>
    <w:rsid w:val="7BD118DF"/>
    <w:rsid w:val="7EEF75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等线" w:hAnsi="等线" w:eastAsia="等线" w:cs="Times New Roman"/>
      <w:kern w:val="2"/>
      <w:sz w:val="21"/>
      <w:szCs w:val="22"/>
      <w:lang w:val="en-US" w:eastAsia="zh-CN" w:bidi="ar-SA"/>
    </w:rPr>
  </w:style>
  <w:style w:type="character" w:default="1" w:styleId="14">
    <w:name w:val="Default Paragraph Font"/>
    <w:autoRedefine/>
    <w:semiHidden/>
    <w:unhideWhenUsed/>
    <w:qFormat/>
    <w:uiPriority w:val="1"/>
  </w:style>
  <w:style w:type="table" w:default="1" w:styleId="12">
    <w:name w:val="Normal Table"/>
    <w:autoRedefine/>
    <w:semiHidden/>
    <w:unhideWhenUsed/>
    <w:qFormat/>
    <w:uiPriority w:val="99"/>
    <w:tblPr>
      <w:tblCellMar>
        <w:top w:w="0" w:type="dxa"/>
        <w:left w:w="108" w:type="dxa"/>
        <w:bottom w:w="0" w:type="dxa"/>
        <w:right w:w="108" w:type="dxa"/>
      </w:tblCellMar>
    </w:tblPr>
  </w:style>
  <w:style w:type="paragraph" w:styleId="2">
    <w:name w:val="annotation text"/>
    <w:basedOn w:val="1"/>
    <w:link w:val="19"/>
    <w:autoRedefine/>
    <w:unhideWhenUsed/>
    <w:qFormat/>
    <w:uiPriority w:val="99"/>
    <w:pPr>
      <w:jc w:val="left"/>
    </w:pPr>
  </w:style>
  <w:style w:type="paragraph" w:styleId="3">
    <w:name w:val="toc 3"/>
    <w:basedOn w:val="1"/>
    <w:next w:val="1"/>
    <w:unhideWhenUsed/>
    <w:qFormat/>
    <w:uiPriority w:val="39"/>
    <w:pPr>
      <w:ind w:left="840" w:leftChars="400"/>
    </w:pPr>
  </w:style>
  <w:style w:type="paragraph" w:styleId="4">
    <w:name w:val="Balloon Text"/>
    <w:basedOn w:val="1"/>
    <w:link w:val="20"/>
    <w:autoRedefine/>
    <w:semiHidden/>
    <w:unhideWhenUsed/>
    <w:qFormat/>
    <w:uiPriority w:val="99"/>
    <w:rPr>
      <w:sz w:val="18"/>
      <w:szCs w:val="18"/>
    </w:rPr>
  </w:style>
  <w:style w:type="paragraph" w:styleId="5">
    <w:name w:val="footer"/>
    <w:basedOn w:val="1"/>
    <w:link w:val="21"/>
    <w:autoRedefine/>
    <w:unhideWhenUsed/>
    <w:qFormat/>
    <w:uiPriority w:val="99"/>
    <w:pPr>
      <w:tabs>
        <w:tab w:val="center" w:pos="4153"/>
        <w:tab w:val="right" w:pos="8306"/>
      </w:tabs>
      <w:snapToGrid w:val="0"/>
      <w:jc w:val="left"/>
    </w:pPr>
    <w:rPr>
      <w:sz w:val="18"/>
    </w:rPr>
  </w:style>
  <w:style w:type="paragraph" w:styleId="6">
    <w:name w:val="header"/>
    <w:basedOn w:val="1"/>
    <w:autoRedefine/>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toc 1"/>
    <w:basedOn w:val="1"/>
    <w:next w:val="1"/>
    <w:autoRedefine/>
    <w:unhideWhenUsed/>
    <w:qFormat/>
    <w:uiPriority w:val="39"/>
  </w:style>
  <w:style w:type="paragraph" w:styleId="8">
    <w:name w:val="footnote text"/>
    <w:basedOn w:val="1"/>
    <w:link w:val="35"/>
    <w:autoRedefine/>
    <w:semiHidden/>
    <w:unhideWhenUsed/>
    <w:qFormat/>
    <w:uiPriority w:val="99"/>
    <w:pPr>
      <w:snapToGrid w:val="0"/>
      <w:jc w:val="left"/>
    </w:pPr>
    <w:rPr>
      <w:sz w:val="18"/>
      <w:szCs w:val="18"/>
    </w:rPr>
  </w:style>
  <w:style w:type="paragraph" w:styleId="9">
    <w:name w:val="toc 2"/>
    <w:basedOn w:val="1"/>
    <w:next w:val="1"/>
    <w:autoRedefine/>
    <w:unhideWhenUsed/>
    <w:qFormat/>
    <w:uiPriority w:val="39"/>
    <w:pPr>
      <w:ind w:left="420" w:leftChars="200"/>
    </w:pPr>
  </w:style>
  <w:style w:type="paragraph" w:styleId="10">
    <w:name w:val="Normal (Web)"/>
    <w:basedOn w:val="1"/>
    <w:autoRedefine/>
    <w:unhideWhenUsed/>
    <w:qFormat/>
    <w:uiPriority w:val="99"/>
    <w:pPr>
      <w:spacing w:beforeAutospacing="1" w:afterAutospacing="1"/>
      <w:jc w:val="left"/>
    </w:pPr>
    <w:rPr>
      <w:kern w:val="0"/>
      <w:sz w:val="24"/>
    </w:rPr>
  </w:style>
  <w:style w:type="paragraph" w:styleId="11">
    <w:name w:val="annotation subject"/>
    <w:basedOn w:val="2"/>
    <w:next w:val="2"/>
    <w:link w:val="32"/>
    <w:autoRedefine/>
    <w:semiHidden/>
    <w:unhideWhenUsed/>
    <w:qFormat/>
    <w:uiPriority w:val="99"/>
    <w:rPr>
      <w:b/>
      <w:bCs/>
    </w:rPr>
  </w:style>
  <w:style w:type="table" w:styleId="13">
    <w:name w:val="Table Grid"/>
    <w:basedOn w:val="12"/>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Strong"/>
    <w:basedOn w:val="14"/>
    <w:autoRedefine/>
    <w:qFormat/>
    <w:uiPriority w:val="22"/>
    <w:rPr>
      <w:b/>
      <w:bCs/>
    </w:rPr>
  </w:style>
  <w:style w:type="character" w:styleId="16">
    <w:name w:val="Hyperlink"/>
    <w:autoRedefine/>
    <w:qFormat/>
    <w:uiPriority w:val="99"/>
    <w:rPr>
      <w:color w:val="0000FF"/>
      <w:u w:val="single"/>
    </w:rPr>
  </w:style>
  <w:style w:type="character" w:styleId="17">
    <w:name w:val="annotation reference"/>
    <w:basedOn w:val="14"/>
    <w:autoRedefine/>
    <w:unhideWhenUsed/>
    <w:qFormat/>
    <w:uiPriority w:val="99"/>
    <w:rPr>
      <w:sz w:val="21"/>
      <w:szCs w:val="21"/>
    </w:rPr>
  </w:style>
  <w:style w:type="character" w:styleId="18">
    <w:name w:val="footnote reference"/>
    <w:basedOn w:val="14"/>
    <w:autoRedefine/>
    <w:semiHidden/>
    <w:unhideWhenUsed/>
    <w:qFormat/>
    <w:uiPriority w:val="99"/>
    <w:rPr>
      <w:vertAlign w:val="superscript"/>
    </w:rPr>
  </w:style>
  <w:style w:type="character" w:customStyle="1" w:styleId="19">
    <w:name w:val="批注文字 字符"/>
    <w:basedOn w:val="14"/>
    <w:link w:val="2"/>
    <w:autoRedefine/>
    <w:qFormat/>
    <w:uiPriority w:val="99"/>
    <w:rPr>
      <w:rFonts w:ascii="等线" w:hAnsi="等线" w:eastAsia="等线"/>
      <w:kern w:val="2"/>
      <w:sz w:val="21"/>
      <w:szCs w:val="22"/>
    </w:rPr>
  </w:style>
  <w:style w:type="character" w:customStyle="1" w:styleId="20">
    <w:name w:val="批注框文本 字符"/>
    <w:basedOn w:val="14"/>
    <w:link w:val="4"/>
    <w:semiHidden/>
    <w:qFormat/>
    <w:uiPriority w:val="99"/>
    <w:rPr>
      <w:rFonts w:ascii="等线" w:hAnsi="等线" w:eastAsia="等线"/>
      <w:kern w:val="2"/>
      <w:sz w:val="18"/>
      <w:szCs w:val="18"/>
    </w:rPr>
  </w:style>
  <w:style w:type="character" w:customStyle="1" w:styleId="21">
    <w:name w:val="页脚 字符"/>
    <w:link w:val="5"/>
    <w:autoRedefine/>
    <w:qFormat/>
    <w:uiPriority w:val="99"/>
    <w:rPr>
      <w:rFonts w:ascii="等线" w:hAnsi="等线" w:eastAsia="等线"/>
      <w:kern w:val="2"/>
      <w:sz w:val="18"/>
      <w:szCs w:val="22"/>
    </w:rPr>
  </w:style>
  <w:style w:type="paragraph" w:customStyle="1" w:styleId="22">
    <w:name w:val="_Style 3"/>
    <w:basedOn w:val="1"/>
    <w:next w:val="23"/>
    <w:autoRedefine/>
    <w:unhideWhenUsed/>
    <w:qFormat/>
    <w:uiPriority w:val="99"/>
    <w:pPr>
      <w:spacing w:line="360" w:lineRule="auto"/>
      <w:ind w:firstLine="420" w:firstLineChars="200"/>
      <w:jc w:val="left"/>
    </w:pPr>
    <w:rPr>
      <w:rFonts w:ascii="Times New Roman" w:hAnsi="Times New Roman" w:eastAsia="仿宋"/>
      <w:sz w:val="32"/>
      <w:szCs w:val="24"/>
      <w:lang w:eastAsia="zh-TW"/>
    </w:rPr>
  </w:style>
  <w:style w:type="paragraph" w:styleId="23">
    <w:name w:val="List Paragraph"/>
    <w:basedOn w:val="1"/>
    <w:autoRedefine/>
    <w:qFormat/>
    <w:uiPriority w:val="34"/>
    <w:pPr>
      <w:ind w:firstLine="420" w:firstLineChars="200"/>
    </w:pPr>
  </w:style>
  <w:style w:type="character" w:customStyle="1" w:styleId="24">
    <w:name w:val="font41"/>
    <w:basedOn w:val="14"/>
    <w:autoRedefine/>
    <w:qFormat/>
    <w:uiPriority w:val="0"/>
    <w:rPr>
      <w:rFonts w:hint="eastAsia" w:ascii="宋体" w:hAnsi="宋体" w:eastAsia="宋体" w:cs="宋体"/>
      <w:color w:val="000000"/>
      <w:sz w:val="20"/>
      <w:szCs w:val="20"/>
      <w:u w:val="none"/>
    </w:rPr>
  </w:style>
  <w:style w:type="character" w:customStyle="1" w:styleId="25">
    <w:name w:val="font21"/>
    <w:basedOn w:val="14"/>
    <w:autoRedefine/>
    <w:qFormat/>
    <w:uiPriority w:val="0"/>
    <w:rPr>
      <w:rFonts w:hint="eastAsia" w:ascii="宋体" w:hAnsi="宋体" w:eastAsia="宋体" w:cs="宋体"/>
      <w:b/>
      <w:bCs/>
      <w:color w:val="000000"/>
      <w:sz w:val="20"/>
      <w:szCs w:val="20"/>
      <w:u w:val="none"/>
    </w:rPr>
  </w:style>
  <w:style w:type="character" w:customStyle="1" w:styleId="26">
    <w:name w:val="font61"/>
    <w:basedOn w:val="14"/>
    <w:autoRedefine/>
    <w:qFormat/>
    <w:uiPriority w:val="0"/>
    <w:rPr>
      <w:rFonts w:hint="eastAsia" w:ascii="宋体" w:hAnsi="宋体" w:eastAsia="宋体" w:cs="宋体"/>
      <w:color w:val="000000"/>
      <w:sz w:val="20"/>
      <w:szCs w:val="20"/>
      <w:u w:val="none"/>
    </w:rPr>
  </w:style>
  <w:style w:type="character" w:customStyle="1" w:styleId="27">
    <w:name w:val="font31"/>
    <w:basedOn w:val="14"/>
    <w:autoRedefine/>
    <w:qFormat/>
    <w:uiPriority w:val="0"/>
    <w:rPr>
      <w:rFonts w:hint="eastAsia" w:ascii="宋体" w:hAnsi="宋体" w:eastAsia="宋体" w:cs="宋体"/>
      <w:color w:val="FF0000"/>
      <w:sz w:val="20"/>
      <w:szCs w:val="20"/>
      <w:u w:val="none"/>
    </w:rPr>
  </w:style>
  <w:style w:type="character" w:customStyle="1" w:styleId="28">
    <w:name w:val="font71"/>
    <w:basedOn w:val="14"/>
    <w:autoRedefine/>
    <w:qFormat/>
    <w:uiPriority w:val="0"/>
    <w:rPr>
      <w:rFonts w:hint="eastAsia" w:ascii="宋体" w:hAnsi="宋体" w:eastAsia="宋体" w:cs="宋体"/>
      <w:color w:val="000000"/>
      <w:sz w:val="20"/>
      <w:szCs w:val="20"/>
      <w:u w:val="none"/>
    </w:rPr>
  </w:style>
  <w:style w:type="character" w:customStyle="1" w:styleId="29">
    <w:name w:val="font01"/>
    <w:basedOn w:val="14"/>
    <w:autoRedefine/>
    <w:qFormat/>
    <w:uiPriority w:val="0"/>
    <w:rPr>
      <w:rFonts w:hint="eastAsia" w:ascii="宋体" w:hAnsi="宋体" w:eastAsia="宋体" w:cs="宋体"/>
      <w:b/>
      <w:bCs/>
      <w:color w:val="000000"/>
      <w:sz w:val="20"/>
      <w:szCs w:val="20"/>
      <w:u w:val="none"/>
    </w:rPr>
  </w:style>
  <w:style w:type="character" w:customStyle="1" w:styleId="30">
    <w:name w:val="正文1 Char"/>
    <w:link w:val="31"/>
    <w:autoRedefine/>
    <w:qFormat/>
    <w:locked/>
    <w:uiPriority w:val="0"/>
    <w:rPr>
      <w:rFonts w:ascii="宋体" w:hAnsi="宋体" w:eastAsia="仿宋_GB2312"/>
      <w:spacing w:val="6"/>
      <w:sz w:val="24"/>
    </w:rPr>
  </w:style>
  <w:style w:type="paragraph" w:customStyle="1" w:styleId="31">
    <w:name w:val="正文1"/>
    <w:basedOn w:val="1"/>
    <w:link w:val="30"/>
    <w:autoRedefine/>
    <w:qFormat/>
    <w:uiPriority w:val="0"/>
    <w:pPr>
      <w:autoSpaceDE w:val="0"/>
      <w:autoSpaceDN w:val="0"/>
      <w:adjustRightInd w:val="0"/>
      <w:snapToGrid w:val="0"/>
      <w:spacing w:line="600" w:lineRule="exact"/>
      <w:ind w:firstLine="624" w:firstLineChars="200"/>
    </w:pPr>
    <w:rPr>
      <w:rFonts w:ascii="宋体" w:hAnsi="宋体" w:eastAsia="仿宋_GB2312"/>
      <w:spacing w:val="6"/>
      <w:kern w:val="0"/>
      <w:sz w:val="24"/>
      <w:szCs w:val="20"/>
    </w:rPr>
  </w:style>
  <w:style w:type="character" w:customStyle="1" w:styleId="32">
    <w:name w:val="批注主题 字符"/>
    <w:basedOn w:val="19"/>
    <w:link w:val="11"/>
    <w:semiHidden/>
    <w:qFormat/>
    <w:uiPriority w:val="99"/>
    <w:rPr>
      <w:rFonts w:ascii="等线" w:hAnsi="等线" w:eastAsia="等线"/>
      <w:b/>
      <w:bCs/>
      <w:kern w:val="2"/>
      <w:sz w:val="21"/>
      <w:szCs w:val="22"/>
    </w:rPr>
  </w:style>
  <w:style w:type="paragraph" w:customStyle="1" w:styleId="33">
    <w:name w:val="_Style 27"/>
    <w:basedOn w:val="1"/>
    <w:next w:val="1"/>
    <w:autoRedefine/>
    <w:unhideWhenUsed/>
    <w:qFormat/>
    <w:uiPriority w:val="39"/>
    <w:pPr>
      <w:spacing w:before="120" w:after="120"/>
      <w:jc w:val="left"/>
    </w:pPr>
    <w:rPr>
      <w:rFonts w:ascii="Calibri" w:hAnsi="Calibri" w:eastAsia="仿宋_GB2312" w:cs="Calibri"/>
      <w:b/>
      <w:bCs/>
      <w:caps/>
      <w:sz w:val="20"/>
      <w:szCs w:val="20"/>
    </w:rPr>
  </w:style>
  <w:style w:type="paragraph" w:customStyle="1" w:styleId="34">
    <w:name w:val="修订1"/>
    <w:autoRedefine/>
    <w:hidden/>
    <w:semiHidden/>
    <w:qFormat/>
    <w:uiPriority w:val="99"/>
    <w:rPr>
      <w:rFonts w:ascii="等线" w:hAnsi="等线" w:eastAsia="等线" w:cs="Times New Roman"/>
      <w:kern w:val="2"/>
      <w:sz w:val="21"/>
      <w:szCs w:val="22"/>
      <w:lang w:val="en-US" w:eastAsia="zh-CN" w:bidi="ar-SA"/>
    </w:rPr>
  </w:style>
  <w:style w:type="character" w:customStyle="1" w:styleId="35">
    <w:name w:val="脚注文本 字符"/>
    <w:basedOn w:val="14"/>
    <w:link w:val="8"/>
    <w:autoRedefine/>
    <w:semiHidden/>
    <w:qFormat/>
    <w:uiPriority w:val="99"/>
    <w:rPr>
      <w:rFonts w:ascii="等线" w:hAnsi="等线" w:eastAsia="等线"/>
      <w:kern w:val="2"/>
      <w:sz w:val="18"/>
      <w:szCs w:val="18"/>
    </w:rPr>
  </w:style>
  <w:style w:type="character" w:customStyle="1" w:styleId="36">
    <w:name w:val="批注文字 字符1"/>
    <w:autoRedefine/>
    <w:qFormat/>
    <w:uiPriority w:val="99"/>
    <w:rPr>
      <w:rFonts w:ascii="Times New Roman" w:hAnsi="Times New Roman" w:eastAsia="宋体" w:cs="Times New Roman"/>
      <w:szCs w:val="24"/>
      <w:lang w:val="zh-CN" w:eastAsia="zh-CN"/>
    </w:rPr>
  </w:style>
  <w:style w:type="character" w:customStyle="1" w:styleId="37">
    <w:name w:val="font11"/>
    <w:autoRedefine/>
    <w:qFormat/>
    <w:uiPriority w:val="0"/>
    <w:rPr>
      <w:rFonts w:hint="eastAsia" w:ascii="宋体" w:hAnsi="宋体" w:eastAsia="宋体" w:cs="宋体"/>
      <w:color w:val="000000"/>
      <w:sz w:val="18"/>
      <w:szCs w:val="18"/>
      <w:u w:val="none"/>
    </w:rPr>
  </w:style>
  <w:style w:type="character" w:customStyle="1" w:styleId="38">
    <w:name w:val="bjh-p"/>
    <w:basedOn w:val="14"/>
    <w:autoRedefine/>
    <w:qFormat/>
    <w:uiPriority w:val="0"/>
  </w:style>
  <w:style w:type="paragraph" w:customStyle="1" w:styleId="39">
    <w:name w:val="Revision"/>
    <w:autoRedefine/>
    <w:hidden/>
    <w:semiHidden/>
    <w:qFormat/>
    <w:uiPriority w:val="99"/>
    <w:rPr>
      <w:rFonts w:ascii="等线" w:hAnsi="等线" w:eastAsia="等线"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C72FDF-AA45-423F-8073-556DB995E8F1}">
  <ds:schemaRefs/>
</ds:datastoreItem>
</file>

<file path=docProps/app.xml><?xml version="1.0" encoding="utf-8"?>
<Properties xmlns="http://schemas.openxmlformats.org/officeDocument/2006/extended-properties" xmlns:vt="http://schemas.openxmlformats.org/officeDocument/2006/docPropsVTypes">
  <Template>Normal.dotm</Template>
  <Pages>31</Pages>
  <Words>3065</Words>
  <Characters>17477</Characters>
  <Lines>145</Lines>
  <Paragraphs>41</Paragraphs>
  <TotalTime>9</TotalTime>
  <ScaleCrop>false</ScaleCrop>
  <LinksUpToDate>false</LinksUpToDate>
  <CharactersWithSpaces>20501</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2023-03-23T08:55:00Z</dcterms:created>
  <dc:creator>cfrlwj</dc:creator>
  <cp:lastModifiedBy>桃之0511</cp:lastModifiedBy>
  <cp:lastPrinted>2023-05-16T04:14:00Z</cp:lastPrinted>
  <dcterms:modified xsi:type="dcterms:W3CDTF">2024-05-22T03:17:04Z</dcterms:modified>
  <cp:revision>552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D477393694C749DAB8B1ADAB30F64295</vt:lpwstr>
  </property>
</Properties>
</file>