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7633"/>
        </w:tabs>
        <w:rPr>
          <w:rFonts w:hint="eastAsia" w:ascii="黑体" w:hAnsi="黑体" w:eastAsia="黑体" w:cs="黑体"/>
          <w:sz w:val="32"/>
          <w:szCs w:val="32"/>
          <w:lang w:eastAsia="zh-CN"/>
        </w:rPr>
      </w:pPr>
      <w:r>
        <w:rPr>
          <w:rFonts w:hint="eastAsia" w:ascii="黑体" w:hAnsi="黑体" w:eastAsia="黑体" w:cs="黑体"/>
          <w:sz w:val="32"/>
          <w:szCs w:val="32"/>
        </w:rPr>
        <w:t>附件1</w:t>
      </w:r>
      <w:r>
        <w:rPr>
          <w:rFonts w:hint="eastAsia" w:ascii="黑体" w:hAnsi="黑体" w:eastAsia="黑体" w:cs="黑体"/>
          <w:sz w:val="32"/>
          <w:szCs w:val="32"/>
          <w:lang w:eastAsia="zh-CN"/>
        </w:rPr>
        <w:tab/>
      </w:r>
      <w:bookmarkStart w:id="0" w:name="_GoBack"/>
      <w:bookmarkEnd w:id="0"/>
    </w:p>
    <w:p>
      <w:pPr>
        <w:pStyle w:val="6"/>
        <w:spacing w:line="560" w:lineRule="exact"/>
        <w:rPr>
          <w:rFonts w:hint="eastAsia" w:ascii="黑体" w:hAnsi="黑体" w:eastAsia="黑体" w:cs="黑体"/>
          <w:sz w:val="32"/>
          <w:szCs w:val="32"/>
        </w:rPr>
      </w:pPr>
    </w:p>
    <w:tbl>
      <w:tblPr>
        <w:tblStyle w:val="5"/>
        <w:tblW w:w="12793" w:type="dxa"/>
        <w:jc w:val="center"/>
        <w:tblInd w:w="0" w:type="dxa"/>
        <w:tblLayout w:type="fixed"/>
        <w:tblCellMar>
          <w:top w:w="0" w:type="dxa"/>
          <w:left w:w="0" w:type="dxa"/>
          <w:bottom w:w="0" w:type="dxa"/>
          <w:right w:w="0" w:type="dxa"/>
        </w:tblCellMar>
      </w:tblPr>
      <w:tblGrid>
        <w:gridCol w:w="609"/>
        <w:gridCol w:w="1101"/>
        <w:gridCol w:w="2379"/>
        <w:gridCol w:w="1190"/>
        <w:gridCol w:w="585"/>
        <w:gridCol w:w="600"/>
        <w:gridCol w:w="555"/>
        <w:gridCol w:w="555"/>
        <w:gridCol w:w="1335"/>
        <w:gridCol w:w="3884"/>
      </w:tblGrid>
      <w:tr>
        <w:tblPrEx>
          <w:tblLayout w:type="fixed"/>
          <w:tblCellMar>
            <w:top w:w="0" w:type="dxa"/>
            <w:left w:w="0" w:type="dxa"/>
            <w:bottom w:w="0" w:type="dxa"/>
            <w:right w:w="0" w:type="dxa"/>
          </w:tblCellMar>
        </w:tblPrEx>
        <w:trPr>
          <w:trHeight w:val="874" w:hRule="atLeast"/>
          <w:jc w:val="center"/>
        </w:trPr>
        <w:tc>
          <w:tcPr>
            <w:tcW w:w="12793" w:type="dxa"/>
            <w:gridSpan w:val="10"/>
            <w:shd w:val="clear" w:color="auto" w:fill="FFFFFF"/>
            <w:tcMar>
              <w:top w:w="15" w:type="dxa"/>
              <w:left w:w="15" w:type="dxa"/>
              <w:bottom w:w="0" w:type="dxa"/>
              <w:right w:w="15" w:type="dxa"/>
            </w:tcMar>
            <w:vAlign w:val="center"/>
          </w:tcPr>
          <w:p>
            <w:pPr>
              <w:widowControl/>
              <w:jc w:val="center"/>
              <w:textAlignment w:val="center"/>
              <w:rPr>
                <w:rFonts w:ascii="方正小标宋简体" w:hAnsi="方正小标宋简体" w:eastAsia="方正小标宋简体" w:cs="方正小标宋简体"/>
                <w:color w:val="000000"/>
                <w:sz w:val="48"/>
                <w:szCs w:val="48"/>
              </w:rPr>
            </w:pPr>
            <w:r>
              <w:rPr>
                <w:rFonts w:hint="eastAsia" w:ascii="方正小标宋简体" w:hAnsi="方正小标宋简体" w:eastAsia="方正小标宋简体" w:cs="方正小标宋简体"/>
                <w:color w:val="000000"/>
                <w:kern w:val="0"/>
                <w:sz w:val="36"/>
                <w:szCs w:val="36"/>
                <w:lang w:bidi="ar"/>
              </w:rPr>
              <w:t>北京市新一批“证照分离”改革事项清单</w:t>
            </w:r>
          </w:p>
        </w:tc>
      </w:tr>
      <w:tr>
        <w:tblPrEx>
          <w:tblLayout w:type="fixed"/>
          <w:tblCellMar>
            <w:top w:w="0" w:type="dxa"/>
            <w:left w:w="0" w:type="dxa"/>
            <w:bottom w:w="0" w:type="dxa"/>
            <w:right w:w="0" w:type="dxa"/>
          </w:tblCellMar>
        </w:tblPrEx>
        <w:trPr>
          <w:trHeight w:val="510" w:hRule="exact"/>
          <w:jc w:val="center"/>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lang w:bidi="ar"/>
              </w:rPr>
              <w:t>序号</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lang w:bidi="ar"/>
              </w:rPr>
              <w:t>事项名称</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lang w:bidi="ar"/>
              </w:rPr>
              <w:t>实施部门</w:t>
            </w: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lang w:bidi="ar"/>
              </w:rPr>
              <w:t>改革方式</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lang w:bidi="ar"/>
              </w:rPr>
              <w:t>实施范围</w:t>
            </w:r>
          </w:p>
        </w:tc>
        <w:tc>
          <w:tcPr>
            <w:tcW w:w="388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lang w:bidi="ar"/>
              </w:rPr>
              <w:t>具体改革举措</w:t>
            </w:r>
          </w:p>
        </w:tc>
      </w:tr>
      <w:tr>
        <w:tblPrEx>
          <w:tblLayout w:type="fixed"/>
          <w:tblCellMar>
            <w:top w:w="0" w:type="dxa"/>
            <w:left w:w="0" w:type="dxa"/>
            <w:bottom w:w="0" w:type="dxa"/>
            <w:right w:w="0" w:type="dxa"/>
          </w:tblCellMar>
        </w:tblPrEx>
        <w:trPr>
          <w:trHeight w:val="1117"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黑体"/>
                <w:color w:val="000000"/>
                <w:sz w:val="24"/>
                <w:szCs w:val="24"/>
              </w:rPr>
            </w:pPr>
          </w:p>
        </w:tc>
        <w:tc>
          <w:tcPr>
            <w:tcW w:w="11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lang w:bidi="ar"/>
              </w:rPr>
              <w:t>主项</w:t>
            </w: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lang w:bidi="ar"/>
              </w:rPr>
              <w:t>办理项</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黑体"/>
                <w:color w:val="000000"/>
                <w:sz w:val="24"/>
                <w:szCs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lang w:bidi="ar"/>
              </w:rPr>
              <w:t>直接</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取消</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审批</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lang w:bidi="ar"/>
              </w:rPr>
              <w:t>审批</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改为</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备案</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lang w:bidi="ar"/>
              </w:rPr>
              <w:t>实行</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告知</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承诺</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lang w:bidi="ar"/>
              </w:rPr>
              <w:t>优化</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审批</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服务</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黑体" w:cs="黑体"/>
                <w:color w:val="000000"/>
                <w:sz w:val="24"/>
                <w:szCs w:val="24"/>
              </w:rPr>
            </w:pPr>
          </w:p>
        </w:tc>
        <w:tc>
          <w:tcPr>
            <w:tcW w:w="38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黑体" w:cs="黑体"/>
                <w:color w:val="000000"/>
                <w:sz w:val="24"/>
                <w:szCs w:val="24"/>
              </w:rPr>
            </w:pPr>
          </w:p>
        </w:tc>
      </w:tr>
      <w:tr>
        <w:tblPrEx>
          <w:tblLayout w:type="fixed"/>
          <w:tblCellMar>
            <w:top w:w="0" w:type="dxa"/>
            <w:left w:w="0" w:type="dxa"/>
            <w:bottom w:w="0" w:type="dxa"/>
            <w:right w:w="0" w:type="dxa"/>
          </w:tblCellMar>
        </w:tblPrEx>
        <w:trPr>
          <w:trHeight w:val="114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1</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保险公司支公司及以下的分支机构迁址、高管许可</w:t>
            </w: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保险公司支公司及以下的分支机构迁址</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北京银保监局</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rPr>
                <w:rFonts w:ascii="仿宋_GB2312" w:hAnsi="宋体" w:eastAsia="仿宋_GB2312" w:cs="仿宋_GB2312"/>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jc w:val="center"/>
              <w:rPr>
                <w:rFonts w:ascii="仿宋_GB2312" w:hAnsi="宋体" w:eastAsia="仿宋_GB2312" w:cs="仿宋_GB2312"/>
                <w:color w:val="000000"/>
                <w:sz w:val="24"/>
                <w:szCs w:val="24"/>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rPr>
                <w:rFonts w:ascii="仿宋_GB2312" w:hAnsi="宋体" w:eastAsia="仿宋_GB2312" w:cs="仿宋_GB2312"/>
                <w:color w:val="000000"/>
                <w:sz w:val="24"/>
                <w:szCs w:val="24"/>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rPr>
                <w:rFonts w:ascii="仿宋_GB2312" w:hAnsi="宋体" w:eastAsia="仿宋_GB2312" w:cs="仿宋_GB2312"/>
                <w:color w:val="000000"/>
                <w:sz w:val="24"/>
                <w:szCs w:val="24"/>
              </w:rPr>
            </w:pPr>
          </w:p>
        </w:tc>
        <w:tc>
          <w:tcPr>
            <w:tcW w:w="388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保险支公司及以下机构营业地址变更许可事项和符合任职条件并通过考试高管人员的任职许可事项，由事前核准改为事后备案。</w:t>
            </w:r>
          </w:p>
        </w:tc>
      </w:tr>
      <w:tr>
        <w:tblPrEx>
          <w:tblLayout w:type="fixed"/>
          <w:tblCellMar>
            <w:top w:w="0" w:type="dxa"/>
            <w:left w:w="0" w:type="dxa"/>
            <w:bottom w:w="0" w:type="dxa"/>
            <w:right w:w="0" w:type="dxa"/>
          </w:tblCellMar>
        </w:tblPrEx>
        <w:trPr>
          <w:trHeight w:val="10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2</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rPr>
                <w:rFonts w:ascii="仿宋_GB2312" w:hAnsi="宋体" w:eastAsia="仿宋_GB2312" w:cs="仿宋_GB2312"/>
                <w:color w:val="000000"/>
                <w:sz w:val="24"/>
                <w:szCs w:val="24"/>
              </w:rPr>
            </w:pP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保险公司支公司及以下的分支机构高管许可</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jc w:val="center"/>
              <w:rPr>
                <w:rFonts w:ascii="仿宋_GB2312" w:hAnsi="宋体" w:eastAsia="仿宋_GB2312" w:cs="仿宋_GB2312"/>
                <w:color w:val="000000"/>
                <w:sz w:val="24"/>
                <w:szCs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rPr>
                <w:rFonts w:ascii="仿宋_GB2312" w:hAnsi="宋体" w:eastAsia="仿宋_GB2312" w:cs="仿宋_GB2312"/>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w:t>
            </w:r>
          </w:p>
        </w:tc>
        <w:tc>
          <w:tcPr>
            <w:tcW w:w="555" w:type="dxa"/>
            <w:vMerge w:val="continue"/>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rPr>
                <w:rFonts w:ascii="仿宋_GB2312" w:hAnsi="宋体" w:eastAsia="仿宋_GB2312" w:cs="仿宋_GB2312"/>
                <w:color w:val="000000"/>
                <w:sz w:val="24"/>
                <w:szCs w:val="24"/>
              </w:rPr>
            </w:pPr>
          </w:p>
        </w:tc>
        <w:tc>
          <w:tcPr>
            <w:tcW w:w="555" w:type="dxa"/>
            <w:vMerge w:val="continue"/>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rPr>
                <w:rFonts w:ascii="仿宋_GB2312" w:hAnsi="宋体" w:eastAsia="仿宋_GB2312" w:cs="仿宋_GB2312"/>
                <w:color w:val="000000"/>
                <w:sz w:val="24"/>
                <w:szCs w:val="24"/>
              </w:rPr>
            </w:pPr>
          </w:p>
        </w:tc>
        <w:tc>
          <w:tcPr>
            <w:tcW w:w="1335" w:type="dxa"/>
            <w:vMerge w:val="continue"/>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rPr>
                <w:rFonts w:ascii="仿宋_GB2312" w:hAnsi="宋体" w:eastAsia="仿宋_GB2312" w:cs="仿宋_GB2312"/>
                <w:color w:val="000000"/>
                <w:sz w:val="24"/>
                <w:szCs w:val="24"/>
              </w:rPr>
            </w:pPr>
          </w:p>
        </w:tc>
        <w:tc>
          <w:tcPr>
            <w:tcW w:w="3884" w:type="dxa"/>
            <w:vMerge w:val="continue"/>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rPr>
                <w:rFonts w:ascii="仿宋_GB2312" w:hAnsi="宋体" w:eastAsia="仿宋_GB2312" w:cs="仿宋_GB2312"/>
                <w:color w:val="000000"/>
                <w:sz w:val="24"/>
                <w:szCs w:val="24"/>
              </w:rPr>
            </w:pPr>
          </w:p>
        </w:tc>
      </w:tr>
      <w:tr>
        <w:tblPrEx>
          <w:tblLayout w:type="fixed"/>
          <w:tblCellMar>
            <w:top w:w="0" w:type="dxa"/>
            <w:left w:w="0" w:type="dxa"/>
            <w:bottom w:w="0" w:type="dxa"/>
            <w:right w:w="0" w:type="dxa"/>
          </w:tblCellMar>
        </w:tblPrEx>
        <w:trPr>
          <w:trHeight w:val="2534"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3</w:t>
            </w:r>
          </w:p>
        </w:tc>
        <w:tc>
          <w:tcPr>
            <w:tcW w:w="11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重要工业产品生产许可证核发</w:t>
            </w: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重要工业产品生产许可证核发（建筑用钢筋、水泥、广播电视传输设备、人民币鉴别仪、预应力混凝土铁路桥简支梁、危险化学品--名称变更）</w:t>
            </w: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市市场</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监管局</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rPr>
                <w:rFonts w:ascii="仿宋_GB2312" w:hAnsi="宋体" w:eastAsia="仿宋_GB2312" w:cs="仿宋_GB2312"/>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jc w:val="center"/>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rPr>
                <w:rFonts w:ascii="仿宋_GB2312" w:hAnsi="宋体" w:eastAsia="仿宋_GB2312" w:cs="仿宋_GB2312"/>
                <w:color w:val="000000"/>
                <w:sz w:val="24"/>
                <w:szCs w:val="24"/>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rPr>
                <w:rFonts w:ascii="仿宋_GB2312" w:hAnsi="宋体" w:eastAsia="仿宋_GB2312" w:cs="仿宋_GB2312"/>
                <w:color w:val="000000"/>
                <w:sz w:val="24"/>
                <w:szCs w:val="24"/>
              </w:rPr>
            </w:pPr>
          </w:p>
        </w:tc>
        <w:tc>
          <w:tcPr>
            <w:tcW w:w="38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申请人承诺已经具备许可条件的，经形式审查后当场作出审批决定。</w:t>
            </w:r>
          </w:p>
        </w:tc>
      </w:tr>
      <w:tr>
        <w:tblPrEx>
          <w:tblLayout w:type="fixed"/>
          <w:tblCellMar>
            <w:top w:w="0" w:type="dxa"/>
            <w:left w:w="0" w:type="dxa"/>
            <w:bottom w:w="0" w:type="dxa"/>
            <w:right w:w="0" w:type="dxa"/>
          </w:tblCellMar>
        </w:tblPrEx>
        <w:trPr>
          <w:trHeight w:val="510" w:hRule="exact"/>
          <w:jc w:val="center"/>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序号</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事项名称</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实施部门</w:t>
            </w: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仿宋_GB2312" w:hAnsi="宋体" w:eastAsia="仿宋_GB2312" w:cs="仿宋_GB2312"/>
                <w:color w:val="000000"/>
                <w:sz w:val="24"/>
                <w:szCs w:val="24"/>
              </w:rPr>
            </w:pPr>
            <w:r>
              <w:rPr>
                <w:rFonts w:hint="eastAsia" w:ascii="黑体" w:hAnsi="黑体" w:eastAsia="黑体" w:cs="黑体"/>
                <w:color w:val="000000"/>
                <w:sz w:val="24"/>
              </w:rPr>
              <w:t>改革方式</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仿宋_GB2312" w:hAnsi="宋体" w:eastAsia="仿宋_GB2312" w:cs="仿宋_GB2312"/>
                <w:color w:val="000000"/>
                <w:sz w:val="24"/>
                <w:szCs w:val="24"/>
              </w:rPr>
            </w:pPr>
            <w:r>
              <w:rPr>
                <w:rFonts w:hint="eastAsia" w:ascii="黑体" w:hAnsi="黑体" w:eastAsia="黑体" w:cs="黑体"/>
                <w:color w:val="000000"/>
                <w:kern w:val="0"/>
                <w:sz w:val="24"/>
                <w:lang w:bidi="ar"/>
              </w:rPr>
              <w:t>实施范围</w:t>
            </w:r>
          </w:p>
        </w:tc>
        <w:tc>
          <w:tcPr>
            <w:tcW w:w="388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具体改革举措</w:t>
            </w:r>
          </w:p>
        </w:tc>
      </w:tr>
      <w:tr>
        <w:tblPrEx>
          <w:tblLayout w:type="fixed"/>
          <w:tblCellMar>
            <w:top w:w="0" w:type="dxa"/>
            <w:left w:w="0" w:type="dxa"/>
            <w:bottom w:w="0" w:type="dxa"/>
            <w:right w:w="0" w:type="dxa"/>
          </w:tblCellMar>
        </w:tblPrEx>
        <w:trPr>
          <w:trHeight w:val="1134" w:hRule="exac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kern w:val="0"/>
                <w:sz w:val="24"/>
                <w:szCs w:val="24"/>
                <w:lang w:bidi="ar"/>
              </w:rPr>
            </w:pPr>
          </w:p>
        </w:tc>
        <w:tc>
          <w:tcPr>
            <w:tcW w:w="11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宋体" w:eastAsia="黑体" w:cs="黑体"/>
                <w:color w:val="000000"/>
                <w:kern w:val="0"/>
                <w:sz w:val="24"/>
                <w:lang w:bidi="ar"/>
              </w:rPr>
              <w:t>主项</w:t>
            </w: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宋体" w:eastAsia="黑体" w:cs="黑体"/>
                <w:color w:val="000000"/>
                <w:kern w:val="0"/>
                <w:sz w:val="24"/>
                <w:lang w:bidi="ar"/>
              </w:rPr>
              <w:t>办理项</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kern w:val="0"/>
                <w:sz w:val="24"/>
                <w:szCs w:val="24"/>
                <w:lang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黑体" w:hAnsi="宋体" w:eastAsia="黑体" w:cs="黑体"/>
                <w:color w:val="000000"/>
                <w:kern w:val="0"/>
                <w:sz w:val="24"/>
                <w:lang w:bidi="ar"/>
              </w:rPr>
              <w:t>直接</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取消</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审批</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黑体" w:hAnsi="宋体" w:eastAsia="黑体" w:cs="黑体"/>
                <w:color w:val="000000"/>
                <w:kern w:val="0"/>
                <w:sz w:val="24"/>
                <w:lang w:bidi="ar"/>
              </w:rPr>
              <w:t>审批</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改为</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备案</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宋体" w:eastAsia="黑体" w:cs="黑体"/>
                <w:color w:val="000000"/>
                <w:kern w:val="0"/>
                <w:sz w:val="24"/>
                <w:lang w:bidi="ar"/>
              </w:rPr>
              <w:t>实行</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告知</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承诺</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黑体" w:hAnsi="宋体" w:eastAsia="黑体" w:cs="黑体"/>
                <w:color w:val="000000"/>
                <w:kern w:val="0"/>
                <w:sz w:val="24"/>
                <w:lang w:bidi="ar"/>
              </w:rPr>
              <w:t>优化</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审批</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服务</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38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kern w:val="0"/>
                <w:sz w:val="24"/>
                <w:szCs w:val="24"/>
                <w:lang w:bidi="ar"/>
              </w:rPr>
            </w:pPr>
          </w:p>
        </w:tc>
      </w:tr>
      <w:tr>
        <w:tblPrEx>
          <w:tblLayout w:type="fixed"/>
          <w:tblCellMar>
            <w:top w:w="0" w:type="dxa"/>
            <w:left w:w="0" w:type="dxa"/>
            <w:bottom w:w="0" w:type="dxa"/>
            <w:right w:w="0" w:type="dxa"/>
          </w:tblCellMar>
        </w:tblPrEx>
        <w:trPr>
          <w:trHeight w:val="2287"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4</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重要工业产品生产许可证核发</w:t>
            </w: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重要工业产品生产许可证核发（建筑用钢筋、水泥、广播电视传输设备、人民币鉴别仪、预应力混凝土铁路桥简支梁、危险化学品--发证、其他）</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市市场</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监管局</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rPr>
                <w:rFonts w:ascii="仿宋_GB2312" w:hAnsi="宋体" w:eastAsia="仿宋_GB2312" w:cs="仿宋_GB2312"/>
                <w:color w:val="000000"/>
                <w:sz w:val="24"/>
                <w:szCs w:val="24"/>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rPr>
                <w:rFonts w:ascii="仿宋_GB2312" w:hAnsi="宋体" w:eastAsia="仿宋_GB2312" w:cs="仿宋_GB2312"/>
                <w:color w:val="000000"/>
                <w:sz w:val="24"/>
                <w:szCs w:val="24"/>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jc w:val="center"/>
              <w:rPr>
                <w:rFonts w:ascii="仿宋_GB2312" w:hAnsi="宋体" w:eastAsia="仿宋_GB2312" w:cs="仿宋_GB2312"/>
                <w:color w:val="000000"/>
                <w:sz w:val="24"/>
                <w:szCs w:val="24"/>
              </w:rPr>
            </w:pPr>
          </w:p>
        </w:tc>
        <w:tc>
          <w:tcPr>
            <w:tcW w:w="388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申请人承诺已经具备许可条件的，经形式审查后当场作出审批决定。</w:t>
            </w:r>
          </w:p>
        </w:tc>
      </w:tr>
      <w:tr>
        <w:tblPrEx>
          <w:tblLayout w:type="fixed"/>
          <w:tblCellMar>
            <w:top w:w="0" w:type="dxa"/>
            <w:left w:w="0" w:type="dxa"/>
            <w:bottom w:w="0" w:type="dxa"/>
            <w:right w:w="0" w:type="dxa"/>
          </w:tblCellMar>
        </w:tblPrEx>
        <w:trPr>
          <w:trHeight w:val="223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5</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szCs w:val="24"/>
              </w:rPr>
            </w:pP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重要工业产品生产许可证核发（建筑用钢筋、水泥、广播电视传输设备、人民币鉴别仪、预应力混凝土铁路桥简支梁、危险化学品--延续）</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szCs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szCs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w:t>
            </w: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38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r>
      <w:tr>
        <w:tblPrEx>
          <w:tblLayout w:type="fixed"/>
          <w:tblCellMar>
            <w:top w:w="0" w:type="dxa"/>
            <w:left w:w="0" w:type="dxa"/>
            <w:bottom w:w="0" w:type="dxa"/>
            <w:right w:w="0" w:type="dxa"/>
          </w:tblCellMar>
        </w:tblPrEx>
        <w:trPr>
          <w:trHeight w:val="2537"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6</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szCs w:val="24"/>
              </w:rPr>
            </w:pP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重要工业产品生产许可证核发（建筑用钢筋、水泥、广播电视传输设备、人民币鉴别仪、预应力混凝土铁路桥简支梁、危险化学品--许可范围变更）</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szCs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szCs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w:t>
            </w: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38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r>
      <w:tr>
        <w:tblPrEx>
          <w:tblLayout w:type="fixed"/>
          <w:tblCellMar>
            <w:top w:w="0" w:type="dxa"/>
            <w:left w:w="0" w:type="dxa"/>
            <w:bottom w:w="0" w:type="dxa"/>
            <w:right w:w="0" w:type="dxa"/>
          </w:tblCellMar>
        </w:tblPrEx>
        <w:trPr>
          <w:trHeight w:val="510" w:hRule="exact"/>
          <w:jc w:val="center"/>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序号</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事项名称</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仿宋_GB2312" w:hAnsi="宋体" w:eastAsia="仿宋_GB2312" w:cs="仿宋_GB2312"/>
                <w:color w:val="000000"/>
                <w:sz w:val="24"/>
                <w:szCs w:val="24"/>
              </w:rPr>
            </w:pPr>
            <w:r>
              <w:rPr>
                <w:rFonts w:hint="eastAsia" w:ascii="黑体" w:hAnsi="黑体" w:eastAsia="黑体" w:cs="黑体"/>
                <w:color w:val="000000"/>
                <w:kern w:val="0"/>
                <w:sz w:val="24"/>
                <w:lang w:bidi="ar"/>
              </w:rPr>
              <w:t>实施部门</w:t>
            </w: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仿宋_GB2312" w:hAnsi="宋体" w:eastAsia="仿宋_GB2312" w:cs="仿宋_GB2312"/>
                <w:color w:val="000000"/>
                <w:sz w:val="24"/>
                <w:szCs w:val="24"/>
              </w:rPr>
            </w:pPr>
            <w:r>
              <w:rPr>
                <w:rFonts w:hint="eastAsia" w:ascii="黑体" w:hAnsi="黑体" w:eastAsia="黑体" w:cs="黑体"/>
                <w:color w:val="000000"/>
                <w:sz w:val="24"/>
              </w:rPr>
              <w:t>改革方式</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仿宋_GB2312" w:hAnsi="宋体" w:eastAsia="仿宋_GB2312" w:cs="仿宋_GB2312"/>
                <w:color w:val="000000"/>
                <w:sz w:val="24"/>
                <w:szCs w:val="24"/>
              </w:rPr>
            </w:pPr>
            <w:r>
              <w:rPr>
                <w:rFonts w:hint="eastAsia" w:ascii="黑体" w:hAnsi="黑体" w:eastAsia="黑体" w:cs="黑体"/>
                <w:color w:val="000000"/>
                <w:kern w:val="0"/>
                <w:sz w:val="24"/>
                <w:lang w:bidi="ar"/>
              </w:rPr>
              <w:t>实施范围</w:t>
            </w:r>
          </w:p>
        </w:tc>
        <w:tc>
          <w:tcPr>
            <w:tcW w:w="388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黑体" w:hAnsi="黑体" w:eastAsia="黑体" w:cs="黑体"/>
                <w:color w:val="000000"/>
                <w:kern w:val="0"/>
                <w:sz w:val="24"/>
                <w:lang w:bidi="ar"/>
              </w:rPr>
              <w:t>具体改革举措</w:t>
            </w:r>
          </w:p>
        </w:tc>
      </w:tr>
      <w:tr>
        <w:tblPrEx>
          <w:tblLayout w:type="fixed"/>
          <w:tblCellMar>
            <w:top w:w="0" w:type="dxa"/>
            <w:left w:w="0" w:type="dxa"/>
            <w:bottom w:w="0" w:type="dxa"/>
            <w:right w:w="0" w:type="dxa"/>
          </w:tblCellMar>
        </w:tblPrEx>
        <w:trPr>
          <w:trHeight w:val="1134" w:hRule="exac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kern w:val="0"/>
                <w:sz w:val="24"/>
                <w:szCs w:val="24"/>
                <w:lang w:bidi="ar"/>
              </w:rPr>
            </w:pPr>
          </w:p>
        </w:tc>
        <w:tc>
          <w:tcPr>
            <w:tcW w:w="11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仿宋_GB2312" w:hAnsi="宋体" w:eastAsia="仿宋_GB2312" w:cs="仿宋_GB2312"/>
                <w:color w:val="000000"/>
                <w:sz w:val="24"/>
                <w:szCs w:val="24"/>
              </w:rPr>
            </w:pPr>
            <w:r>
              <w:rPr>
                <w:rFonts w:hint="eastAsia" w:ascii="黑体" w:hAnsi="宋体" w:eastAsia="黑体" w:cs="黑体"/>
                <w:color w:val="000000"/>
                <w:kern w:val="0"/>
                <w:sz w:val="24"/>
                <w:lang w:bidi="ar"/>
              </w:rPr>
              <w:t>主项</w:t>
            </w: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宋体" w:eastAsia="黑体" w:cs="黑体"/>
                <w:color w:val="000000"/>
                <w:kern w:val="0"/>
                <w:sz w:val="24"/>
                <w:lang w:bidi="ar"/>
              </w:rPr>
              <w:t>办理项</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szCs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黑体" w:hAnsi="宋体" w:eastAsia="黑体" w:cs="黑体"/>
                <w:color w:val="000000"/>
                <w:kern w:val="0"/>
                <w:sz w:val="24"/>
                <w:lang w:bidi="ar"/>
              </w:rPr>
              <w:t>直接</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取消</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审批</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黑体" w:hAnsi="宋体" w:eastAsia="黑体" w:cs="黑体"/>
                <w:color w:val="000000"/>
                <w:kern w:val="0"/>
                <w:sz w:val="24"/>
                <w:lang w:bidi="ar"/>
              </w:rPr>
              <w:t>审批</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改为</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备案</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宋体" w:eastAsia="黑体" w:cs="黑体"/>
                <w:color w:val="000000"/>
                <w:kern w:val="0"/>
                <w:sz w:val="24"/>
                <w:lang w:bidi="ar"/>
              </w:rPr>
              <w:t>实行</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告知</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承诺</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黑体" w:hAnsi="宋体" w:eastAsia="黑体" w:cs="黑体"/>
                <w:color w:val="000000"/>
                <w:kern w:val="0"/>
                <w:sz w:val="24"/>
                <w:lang w:bidi="ar"/>
              </w:rPr>
              <w:t>优化</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审批</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服务</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38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r>
      <w:tr>
        <w:tblPrEx>
          <w:tblLayout w:type="fixed"/>
          <w:tblCellMar>
            <w:top w:w="0" w:type="dxa"/>
            <w:left w:w="0" w:type="dxa"/>
            <w:bottom w:w="0" w:type="dxa"/>
            <w:right w:w="0" w:type="dxa"/>
          </w:tblCellMar>
        </w:tblPrEx>
        <w:trPr>
          <w:trHeight w:val="2288"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7</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重要工业产品生产许可证核发</w:t>
            </w: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重要工业产品生产许可证核发（建筑用钢筋、水泥、广播电视传输设备、人民币鉴别仪、预应力混凝土铁路桥简支梁、危险化学品--撤回）</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市市场</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监管局</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rPr>
                <w:rFonts w:ascii="仿宋_GB2312" w:hAnsi="宋体" w:eastAsia="仿宋_GB2312" w:cs="仿宋_GB2312"/>
                <w:color w:val="000000"/>
                <w:sz w:val="24"/>
                <w:szCs w:val="24"/>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rPr>
                <w:rFonts w:ascii="仿宋_GB2312" w:hAnsi="宋体" w:eastAsia="仿宋_GB2312" w:cs="仿宋_GB2312"/>
                <w:color w:val="000000"/>
                <w:sz w:val="24"/>
                <w:szCs w:val="24"/>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jc w:val="center"/>
              <w:rPr>
                <w:rFonts w:ascii="仿宋_GB2312" w:hAnsi="宋体" w:eastAsia="仿宋_GB2312" w:cs="仿宋_GB2312"/>
                <w:color w:val="000000"/>
                <w:sz w:val="24"/>
                <w:szCs w:val="24"/>
              </w:rPr>
            </w:pPr>
          </w:p>
        </w:tc>
        <w:tc>
          <w:tcPr>
            <w:tcW w:w="388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申请人承诺已经具备许可条件的，经形式审查后当场作出审批决定。</w:t>
            </w:r>
          </w:p>
        </w:tc>
      </w:tr>
      <w:tr>
        <w:tblPrEx>
          <w:tblLayout w:type="fixed"/>
          <w:tblCellMar>
            <w:top w:w="0" w:type="dxa"/>
            <w:left w:w="0" w:type="dxa"/>
            <w:bottom w:w="0" w:type="dxa"/>
            <w:right w:w="0" w:type="dxa"/>
          </w:tblCellMar>
        </w:tblPrEx>
        <w:trPr>
          <w:trHeight w:val="223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8</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jc w:val="left"/>
              <w:rPr>
                <w:rFonts w:ascii="仿宋_GB2312" w:hAnsi="宋体" w:eastAsia="仿宋_GB2312" w:cs="仿宋_GB2312"/>
                <w:color w:val="000000"/>
                <w:sz w:val="24"/>
                <w:szCs w:val="24"/>
              </w:rPr>
            </w:pP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重要工业产品生产许可证核发（建筑用钢筋、水泥、广播电视传输设备、人民币鉴别仪、预应力混凝土铁路桥简支梁、危险化学品--补领证书）</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jc w:val="left"/>
              <w:rPr>
                <w:rFonts w:ascii="仿宋_GB2312" w:hAnsi="宋体" w:eastAsia="仿宋_GB2312" w:cs="仿宋_GB2312"/>
                <w:color w:val="000000"/>
                <w:sz w:val="24"/>
                <w:szCs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jc w:val="left"/>
              <w:rPr>
                <w:rFonts w:ascii="仿宋_GB2312" w:hAnsi="宋体" w:eastAsia="仿宋_GB2312" w:cs="仿宋_GB2312"/>
                <w:color w:val="000000"/>
                <w:sz w:val="24"/>
                <w:szCs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jc w:val="left"/>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w:t>
            </w:r>
          </w:p>
        </w:tc>
        <w:tc>
          <w:tcPr>
            <w:tcW w:w="555" w:type="dxa"/>
            <w:vMerge w:val="continue"/>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left"/>
              <w:rPr>
                <w:rFonts w:ascii="仿宋_GB2312" w:hAnsi="宋体" w:eastAsia="仿宋_GB2312" w:cs="仿宋_GB2312"/>
                <w:color w:val="000000"/>
                <w:sz w:val="24"/>
                <w:szCs w:val="24"/>
              </w:rPr>
            </w:pPr>
          </w:p>
        </w:tc>
        <w:tc>
          <w:tcPr>
            <w:tcW w:w="1335" w:type="dxa"/>
            <w:vMerge w:val="continue"/>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left"/>
              <w:rPr>
                <w:rFonts w:ascii="仿宋_GB2312" w:hAnsi="宋体" w:eastAsia="仿宋_GB2312" w:cs="仿宋_GB2312"/>
                <w:color w:val="000000"/>
                <w:sz w:val="24"/>
                <w:szCs w:val="24"/>
              </w:rPr>
            </w:pPr>
          </w:p>
        </w:tc>
        <w:tc>
          <w:tcPr>
            <w:tcW w:w="3884" w:type="dxa"/>
            <w:vMerge w:val="continue"/>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left"/>
              <w:rPr>
                <w:rFonts w:ascii="仿宋_GB2312" w:hAnsi="宋体" w:eastAsia="仿宋_GB2312" w:cs="仿宋_GB2312"/>
                <w:color w:val="000000"/>
                <w:sz w:val="24"/>
                <w:szCs w:val="24"/>
              </w:rPr>
            </w:pPr>
          </w:p>
        </w:tc>
      </w:tr>
      <w:tr>
        <w:tblPrEx>
          <w:tblLayout w:type="fixed"/>
          <w:tblCellMar>
            <w:top w:w="0" w:type="dxa"/>
            <w:left w:w="0" w:type="dxa"/>
            <w:bottom w:w="0" w:type="dxa"/>
            <w:right w:w="0" w:type="dxa"/>
          </w:tblCellMar>
        </w:tblPrEx>
        <w:trPr>
          <w:trHeight w:val="1414"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9</w:t>
            </w:r>
          </w:p>
        </w:tc>
        <w:tc>
          <w:tcPr>
            <w:tcW w:w="11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外国人永久居留资格初审</w:t>
            </w: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外国人永久居留资格初审</w:t>
            </w: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市公安局</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rPr>
                <w:rFonts w:ascii="仿宋_GB2312" w:hAnsi="宋体" w:eastAsia="仿宋_GB2312" w:cs="仿宋_GB2312"/>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jc w:val="center"/>
              <w:rPr>
                <w:rFonts w:ascii="仿宋_GB2312" w:hAnsi="宋体" w:eastAsia="仿宋_GB2312" w:cs="仿宋_GB2312"/>
                <w:color w:val="000000"/>
                <w:sz w:val="24"/>
                <w:szCs w:val="24"/>
              </w:rPr>
            </w:pPr>
          </w:p>
        </w:tc>
        <w:tc>
          <w:tcPr>
            <w:tcW w:w="38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拓宽推荐范围，“两区”建设重点企业可直接推荐。不再要求申请人必须在境内提出申请，可通过视频连线方式，在境外提出申请。</w:t>
            </w:r>
          </w:p>
        </w:tc>
      </w:tr>
      <w:tr>
        <w:tblPrEx>
          <w:tblLayout w:type="fixed"/>
          <w:tblCellMar>
            <w:top w:w="0" w:type="dxa"/>
            <w:left w:w="0" w:type="dxa"/>
            <w:bottom w:w="0" w:type="dxa"/>
            <w:right w:w="0" w:type="dxa"/>
          </w:tblCellMar>
        </w:tblPrEx>
        <w:trPr>
          <w:trHeight w:val="1123"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lang w:bidi="ar"/>
              </w:rPr>
              <w:t>10</w:t>
            </w:r>
          </w:p>
        </w:tc>
        <w:tc>
          <w:tcPr>
            <w:tcW w:w="11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left"/>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lang w:bidi="ar"/>
              </w:rPr>
              <w:t>外国人来华工作许可</w:t>
            </w: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left"/>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lang w:bidi="ar"/>
              </w:rPr>
              <w:t>外国人来华工作许可</w:t>
            </w: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市人力资源社会</w:t>
            </w:r>
          </w:p>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lang w:bidi="ar"/>
              </w:rPr>
              <w:t>保障局</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rPr>
                <w:rFonts w:ascii="仿宋_GB2312" w:hAnsi="宋体" w:eastAsia="仿宋_GB2312" w:cs="仿宋_GB2312"/>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jc w:val="center"/>
              <w:rPr>
                <w:rFonts w:ascii="仿宋_GB2312" w:hAnsi="宋体" w:eastAsia="仿宋_GB2312" w:cs="仿宋_GB2312"/>
                <w:color w:val="000000"/>
                <w:sz w:val="24"/>
                <w:szCs w:val="24"/>
              </w:rPr>
            </w:pPr>
          </w:p>
        </w:tc>
        <w:tc>
          <w:tcPr>
            <w:tcW w:w="38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left"/>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lang w:bidi="ar"/>
              </w:rPr>
              <w:t>推行工作许可、居留许可“一窗受理、两证联办”，将无犯罪记录证明采取告知承诺制。</w:t>
            </w:r>
          </w:p>
        </w:tc>
      </w:tr>
      <w:tr>
        <w:tblPrEx>
          <w:tblLayout w:type="fixed"/>
          <w:tblCellMar>
            <w:top w:w="0" w:type="dxa"/>
            <w:left w:w="0" w:type="dxa"/>
            <w:bottom w:w="0" w:type="dxa"/>
            <w:right w:w="0" w:type="dxa"/>
          </w:tblCellMar>
        </w:tblPrEx>
        <w:trPr>
          <w:trHeight w:val="510" w:hRule="exact"/>
          <w:jc w:val="center"/>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序号</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事项名称</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实施部门</w:t>
            </w: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仿宋_GB2312" w:hAnsi="宋体" w:eastAsia="仿宋_GB2312" w:cs="仿宋_GB2312"/>
                <w:color w:val="000000"/>
                <w:kern w:val="0"/>
                <w:sz w:val="24"/>
                <w:szCs w:val="24"/>
                <w:lang w:bidi="ar"/>
              </w:rPr>
            </w:pPr>
            <w:r>
              <w:rPr>
                <w:rFonts w:hint="eastAsia" w:ascii="黑体" w:hAnsi="黑体" w:eastAsia="黑体" w:cs="黑体"/>
                <w:color w:val="000000"/>
                <w:sz w:val="24"/>
              </w:rPr>
              <w:t>改革方式</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仿宋_GB2312" w:hAnsi="宋体" w:eastAsia="仿宋_GB2312" w:cs="仿宋_GB2312"/>
                <w:color w:val="000000"/>
                <w:sz w:val="24"/>
                <w:szCs w:val="24"/>
              </w:rPr>
            </w:pPr>
            <w:r>
              <w:rPr>
                <w:rFonts w:hint="eastAsia" w:ascii="黑体" w:hAnsi="黑体" w:eastAsia="黑体" w:cs="黑体"/>
                <w:color w:val="000000"/>
                <w:kern w:val="0"/>
                <w:sz w:val="24"/>
                <w:lang w:bidi="ar"/>
              </w:rPr>
              <w:t>实施范围</w:t>
            </w:r>
          </w:p>
        </w:tc>
        <w:tc>
          <w:tcPr>
            <w:tcW w:w="388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具体改革举措</w:t>
            </w:r>
          </w:p>
        </w:tc>
      </w:tr>
      <w:tr>
        <w:tblPrEx>
          <w:tblLayout w:type="fixed"/>
          <w:tblCellMar>
            <w:top w:w="0" w:type="dxa"/>
            <w:left w:w="0" w:type="dxa"/>
            <w:bottom w:w="0" w:type="dxa"/>
            <w:right w:w="0" w:type="dxa"/>
          </w:tblCellMar>
        </w:tblPrEx>
        <w:trPr>
          <w:trHeight w:val="1134"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kern w:val="0"/>
                <w:sz w:val="24"/>
                <w:szCs w:val="24"/>
                <w:lang w:bidi="ar"/>
              </w:rPr>
            </w:pPr>
          </w:p>
        </w:tc>
        <w:tc>
          <w:tcPr>
            <w:tcW w:w="11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仿宋_GB2312" w:hAnsi="宋体" w:eastAsia="仿宋_GB2312" w:cs="仿宋_GB2312"/>
                <w:color w:val="000000"/>
                <w:kern w:val="0"/>
                <w:sz w:val="24"/>
                <w:szCs w:val="24"/>
                <w:lang w:bidi="ar"/>
              </w:rPr>
            </w:pPr>
            <w:r>
              <w:rPr>
                <w:rFonts w:hint="eastAsia" w:ascii="黑体" w:hAnsi="宋体" w:eastAsia="黑体" w:cs="黑体"/>
                <w:color w:val="000000"/>
                <w:kern w:val="0"/>
                <w:sz w:val="24"/>
                <w:lang w:bidi="ar"/>
              </w:rPr>
              <w:t>主项</w:t>
            </w: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宋体" w:eastAsia="黑体" w:cs="黑体"/>
                <w:color w:val="000000"/>
                <w:kern w:val="0"/>
                <w:sz w:val="24"/>
                <w:lang w:bidi="ar"/>
              </w:rPr>
              <w:t>办理项</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kern w:val="0"/>
                <w:sz w:val="24"/>
                <w:szCs w:val="24"/>
                <w:lang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黑体" w:hAnsi="宋体" w:eastAsia="黑体" w:cs="黑体"/>
                <w:color w:val="000000"/>
                <w:kern w:val="0"/>
                <w:sz w:val="24"/>
                <w:lang w:bidi="ar"/>
              </w:rPr>
              <w:t>直接</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取消</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审批</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黑体" w:hAnsi="宋体" w:eastAsia="黑体" w:cs="黑体"/>
                <w:color w:val="000000"/>
                <w:kern w:val="0"/>
                <w:sz w:val="24"/>
                <w:lang w:bidi="ar"/>
              </w:rPr>
              <w:t>审批</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改为</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备案</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黑体" w:hAnsi="宋体" w:eastAsia="黑体" w:cs="黑体"/>
                <w:color w:val="000000"/>
                <w:kern w:val="0"/>
                <w:sz w:val="24"/>
                <w:lang w:bidi="ar"/>
              </w:rPr>
              <w:t>实行</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告知</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承诺</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宋体" w:eastAsia="黑体" w:cs="黑体"/>
                <w:color w:val="000000"/>
                <w:kern w:val="0"/>
                <w:sz w:val="24"/>
                <w:lang w:bidi="ar"/>
              </w:rPr>
              <w:t>优化</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审批</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服务</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38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kern w:val="0"/>
                <w:sz w:val="24"/>
                <w:szCs w:val="24"/>
                <w:lang w:bidi="ar"/>
              </w:rPr>
            </w:pPr>
          </w:p>
        </w:tc>
      </w:tr>
      <w:tr>
        <w:tblPrEx>
          <w:tblLayout w:type="fixed"/>
          <w:tblCellMar>
            <w:top w:w="0" w:type="dxa"/>
            <w:left w:w="0" w:type="dxa"/>
            <w:bottom w:w="0" w:type="dxa"/>
            <w:right w:w="0" w:type="dxa"/>
          </w:tblCellMar>
        </w:tblPrEx>
        <w:trPr>
          <w:trHeight w:val="157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11</w:t>
            </w:r>
          </w:p>
        </w:tc>
        <w:tc>
          <w:tcPr>
            <w:tcW w:w="11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申报享受税收减免</w:t>
            </w: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申报享受税收减免</w:t>
            </w: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市税务局</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rPr>
                <w:rFonts w:ascii="仿宋_GB2312" w:hAnsi="宋体" w:eastAsia="仿宋_GB2312" w:cs="仿宋_GB2312"/>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jc w:val="center"/>
              <w:rPr>
                <w:rFonts w:ascii="仿宋_GB2312" w:hAnsi="宋体" w:eastAsia="仿宋_GB2312" w:cs="仿宋_GB2312"/>
                <w:color w:val="000000"/>
                <w:sz w:val="24"/>
                <w:szCs w:val="24"/>
              </w:rPr>
            </w:pPr>
          </w:p>
        </w:tc>
        <w:tc>
          <w:tcPr>
            <w:tcW w:w="38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企业享受符合条件的技术转让所得减免征收企业所得税优惠政策时，申报即可享受税收减免，无需报送资料。</w:t>
            </w:r>
          </w:p>
        </w:tc>
      </w:tr>
      <w:tr>
        <w:tblPrEx>
          <w:tblLayout w:type="fixed"/>
          <w:tblCellMar>
            <w:top w:w="0" w:type="dxa"/>
            <w:left w:w="0" w:type="dxa"/>
            <w:bottom w:w="0" w:type="dxa"/>
            <w:right w:w="0" w:type="dxa"/>
          </w:tblCellMar>
        </w:tblPrEx>
        <w:trPr>
          <w:trHeight w:val="1103"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12</w:t>
            </w:r>
          </w:p>
        </w:tc>
        <w:tc>
          <w:tcPr>
            <w:tcW w:w="11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保健食品广告审批</w:t>
            </w: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保健食品广告审批</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市市场</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监管局</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rPr>
                <w:rFonts w:ascii="仿宋_GB2312" w:hAnsi="宋体" w:eastAsia="仿宋_GB2312" w:cs="仿宋_GB2312"/>
                <w:color w:val="000000"/>
                <w:sz w:val="24"/>
                <w:szCs w:val="24"/>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rPr>
                <w:rFonts w:ascii="仿宋_GB2312" w:hAnsi="宋体" w:eastAsia="仿宋_GB2312" w:cs="仿宋_GB2312"/>
                <w:color w:val="000000"/>
                <w:sz w:val="24"/>
                <w:szCs w:val="24"/>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jc w:val="center"/>
              <w:rPr>
                <w:rFonts w:ascii="仿宋_GB2312" w:hAnsi="宋体" w:eastAsia="仿宋_GB2312" w:cs="仿宋_GB2312"/>
                <w:color w:val="000000"/>
                <w:sz w:val="24"/>
                <w:szCs w:val="24"/>
              </w:rPr>
            </w:pPr>
          </w:p>
        </w:tc>
        <w:tc>
          <w:tcPr>
            <w:tcW w:w="38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推行电子印章应用，推行全程网办。</w:t>
            </w:r>
          </w:p>
        </w:tc>
      </w:tr>
      <w:tr>
        <w:tblPrEx>
          <w:tblLayout w:type="fixed"/>
          <w:tblCellMar>
            <w:top w:w="0" w:type="dxa"/>
            <w:left w:w="0" w:type="dxa"/>
            <w:bottom w:w="0" w:type="dxa"/>
            <w:right w:w="0" w:type="dxa"/>
          </w:tblCellMar>
        </w:tblPrEx>
        <w:trPr>
          <w:trHeight w:val="163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13</w:t>
            </w:r>
          </w:p>
        </w:tc>
        <w:tc>
          <w:tcPr>
            <w:tcW w:w="11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特殊医学用途配方食品广告审批</w:t>
            </w: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特殊医学用途配方食品广告审批</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jc w:val="left"/>
              <w:rPr>
                <w:rFonts w:ascii="仿宋_GB2312" w:hAnsi="宋体" w:eastAsia="仿宋_GB2312" w:cs="仿宋_GB2312"/>
                <w:color w:val="000000"/>
                <w:sz w:val="24"/>
                <w:szCs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jc w:val="left"/>
              <w:rPr>
                <w:rFonts w:ascii="仿宋_GB2312" w:hAnsi="宋体" w:eastAsia="仿宋_GB2312" w:cs="仿宋_GB2312"/>
                <w:color w:val="000000"/>
                <w:sz w:val="24"/>
                <w:szCs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jc w:val="left"/>
              <w:rPr>
                <w:rFonts w:ascii="仿宋_GB2312" w:hAnsi="宋体" w:eastAsia="仿宋_GB2312" w:cs="仿宋_GB2312"/>
                <w:color w:val="000000"/>
                <w:sz w:val="24"/>
                <w:szCs w:val="24"/>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jc w:val="left"/>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jc w:val="center"/>
              <w:rPr>
                <w:rFonts w:ascii="仿宋_GB2312" w:hAnsi="宋体" w:eastAsia="仿宋_GB2312" w:cs="仿宋_GB2312"/>
                <w:color w:val="000000"/>
                <w:sz w:val="24"/>
                <w:szCs w:val="24"/>
              </w:rPr>
            </w:pPr>
          </w:p>
        </w:tc>
        <w:tc>
          <w:tcPr>
            <w:tcW w:w="38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推行电子印章应用，推行全程网办。</w:t>
            </w:r>
          </w:p>
        </w:tc>
      </w:tr>
      <w:tr>
        <w:tblPrEx>
          <w:tblLayout w:type="fixed"/>
          <w:tblCellMar>
            <w:top w:w="0" w:type="dxa"/>
            <w:left w:w="0" w:type="dxa"/>
            <w:bottom w:w="0" w:type="dxa"/>
            <w:right w:w="0" w:type="dxa"/>
          </w:tblCellMar>
        </w:tblPrEx>
        <w:trPr>
          <w:trHeight w:val="260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lang w:bidi="ar"/>
              </w:rPr>
              <w:t>14</w:t>
            </w:r>
          </w:p>
        </w:tc>
        <w:tc>
          <w:tcPr>
            <w:tcW w:w="11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lang w:bidi="ar"/>
              </w:rPr>
              <w:t>快递业务经营许可</w:t>
            </w: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lang w:bidi="ar"/>
              </w:rPr>
              <w:t>快递业务经营许可</w:t>
            </w: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市邮政</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管理局</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rPr>
                <w:rFonts w:ascii="仿宋_GB2312" w:hAnsi="宋体" w:eastAsia="仿宋_GB2312" w:cs="仿宋_GB2312"/>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仅在自贸区内实施</w:t>
            </w:r>
          </w:p>
        </w:tc>
        <w:tc>
          <w:tcPr>
            <w:tcW w:w="38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lang w:bidi="ar"/>
              </w:rPr>
              <w:t>实现国际快递业务（代理）经营许可申请、审批全程网上办理并在网上公布审批程序、受理条件、查询方式；不再要求申请人提供快递业务经营场地证明材料，改由申请人提交情况说明；将审批时限由45个工作日压减至22个工作日。</w:t>
            </w:r>
          </w:p>
        </w:tc>
      </w:tr>
      <w:tr>
        <w:tblPrEx>
          <w:tblLayout w:type="fixed"/>
          <w:tblCellMar>
            <w:top w:w="0" w:type="dxa"/>
            <w:left w:w="0" w:type="dxa"/>
            <w:bottom w:w="0" w:type="dxa"/>
            <w:right w:w="0" w:type="dxa"/>
          </w:tblCellMar>
        </w:tblPrEx>
        <w:trPr>
          <w:trHeight w:val="510" w:hRule="atLeast"/>
          <w:jc w:val="center"/>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序号</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事项名称</w:t>
            </w:r>
          </w:p>
        </w:tc>
        <w:tc>
          <w:tcPr>
            <w:tcW w:w="1190" w:type="dxa"/>
            <w:vMerge w:val="restart"/>
            <w:tcBorders>
              <w:top w:val="single" w:color="000000" w:sz="4" w:space="0"/>
              <w:left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实施部门</w:t>
            </w: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仿宋_GB2312" w:hAnsi="宋体" w:eastAsia="仿宋_GB2312" w:cs="仿宋_GB2312"/>
                <w:color w:val="000000"/>
                <w:kern w:val="0"/>
                <w:sz w:val="24"/>
                <w:szCs w:val="24"/>
                <w:lang w:bidi="ar"/>
              </w:rPr>
            </w:pPr>
            <w:r>
              <w:rPr>
                <w:rFonts w:hint="eastAsia" w:ascii="黑体" w:hAnsi="黑体" w:eastAsia="黑体" w:cs="黑体"/>
                <w:color w:val="000000"/>
                <w:sz w:val="24"/>
              </w:rPr>
              <w:t>改革方式</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实施范围</w:t>
            </w:r>
          </w:p>
        </w:tc>
        <w:tc>
          <w:tcPr>
            <w:tcW w:w="388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具体改革举措</w:t>
            </w:r>
          </w:p>
        </w:tc>
      </w:tr>
      <w:tr>
        <w:tblPrEx>
          <w:tblLayout w:type="fixed"/>
          <w:tblCellMar>
            <w:top w:w="0" w:type="dxa"/>
            <w:left w:w="0" w:type="dxa"/>
            <w:bottom w:w="0" w:type="dxa"/>
            <w:right w:w="0" w:type="dxa"/>
          </w:tblCellMar>
        </w:tblPrEx>
        <w:trPr>
          <w:trHeight w:val="1134" w:hRule="exac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kern w:val="0"/>
                <w:sz w:val="24"/>
                <w:szCs w:val="24"/>
                <w:lang w:bidi="ar"/>
              </w:rPr>
            </w:pPr>
          </w:p>
        </w:tc>
        <w:tc>
          <w:tcPr>
            <w:tcW w:w="11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仿宋_GB2312" w:hAnsi="宋体" w:eastAsia="仿宋_GB2312" w:cs="仿宋_GB2312"/>
                <w:color w:val="000000"/>
                <w:kern w:val="0"/>
                <w:sz w:val="24"/>
                <w:szCs w:val="24"/>
                <w:lang w:bidi="ar"/>
              </w:rPr>
            </w:pPr>
            <w:r>
              <w:rPr>
                <w:rFonts w:hint="eastAsia" w:ascii="黑体" w:hAnsi="宋体" w:eastAsia="黑体" w:cs="黑体"/>
                <w:color w:val="000000"/>
                <w:kern w:val="0"/>
                <w:sz w:val="24"/>
                <w:lang w:bidi="ar"/>
              </w:rPr>
              <w:t>主项</w:t>
            </w: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宋体" w:eastAsia="黑体" w:cs="黑体"/>
                <w:color w:val="000000"/>
                <w:kern w:val="0"/>
                <w:sz w:val="24"/>
                <w:lang w:bidi="ar"/>
              </w:rPr>
              <w:t>办理项</w:t>
            </w:r>
          </w:p>
        </w:tc>
        <w:tc>
          <w:tcPr>
            <w:tcW w:w="1190" w:type="dxa"/>
            <w:vMerge w:val="continue"/>
            <w:tcBorders>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仿宋_GB2312" w:hAnsi="宋体" w:eastAsia="仿宋_GB2312" w:cs="仿宋_GB2312"/>
                <w:color w:val="000000"/>
                <w:kern w:val="0"/>
                <w:sz w:val="24"/>
                <w:szCs w:val="24"/>
                <w:lang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黑体" w:hAnsi="宋体" w:eastAsia="黑体" w:cs="黑体"/>
                <w:color w:val="000000"/>
                <w:kern w:val="0"/>
                <w:sz w:val="24"/>
                <w:lang w:bidi="ar"/>
              </w:rPr>
              <w:t>直接</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取消</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审批</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黑体" w:hAnsi="宋体" w:eastAsia="黑体" w:cs="黑体"/>
                <w:color w:val="000000"/>
                <w:kern w:val="0"/>
                <w:sz w:val="24"/>
                <w:lang w:bidi="ar"/>
              </w:rPr>
              <w:t>审批</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改为</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备案</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黑体" w:hAnsi="宋体" w:eastAsia="黑体" w:cs="黑体"/>
                <w:color w:val="000000"/>
                <w:kern w:val="0"/>
                <w:sz w:val="24"/>
                <w:lang w:bidi="ar"/>
              </w:rPr>
              <w:t>实行</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告知</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承诺</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宋体" w:eastAsia="黑体" w:cs="黑体"/>
                <w:color w:val="000000"/>
                <w:kern w:val="0"/>
                <w:sz w:val="24"/>
                <w:lang w:bidi="ar"/>
              </w:rPr>
              <w:t>优化</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审批</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服务</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kern w:val="0"/>
                <w:sz w:val="24"/>
                <w:szCs w:val="24"/>
                <w:lang w:bidi="ar"/>
              </w:rPr>
            </w:pPr>
          </w:p>
        </w:tc>
        <w:tc>
          <w:tcPr>
            <w:tcW w:w="38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kern w:val="0"/>
                <w:sz w:val="24"/>
                <w:szCs w:val="24"/>
                <w:lang w:bidi="ar"/>
              </w:rPr>
            </w:pPr>
          </w:p>
        </w:tc>
      </w:tr>
      <w:tr>
        <w:tblPrEx>
          <w:tblLayout w:type="fixed"/>
          <w:tblCellMar>
            <w:top w:w="0" w:type="dxa"/>
            <w:left w:w="0" w:type="dxa"/>
            <w:bottom w:w="0" w:type="dxa"/>
            <w:right w:w="0" w:type="dxa"/>
          </w:tblCellMar>
        </w:tblPrEx>
        <w:trPr>
          <w:trHeight w:val="2864"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15</w:t>
            </w:r>
          </w:p>
        </w:tc>
        <w:tc>
          <w:tcPr>
            <w:tcW w:w="1101" w:type="dxa"/>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境外仲裁机构在中国（北京）自由贸易试验区设立业务机构登记</w:t>
            </w: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境外仲裁机构在中国（北京）自由贸易试验区设立业务机构</w:t>
            </w: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市司法局</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rPr>
                <w:rFonts w:ascii="仿宋_GB2312" w:hAnsi="宋体" w:eastAsia="仿宋_GB2312" w:cs="仿宋_GB2312"/>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仅在自贸区内实施</w:t>
            </w:r>
          </w:p>
        </w:tc>
        <w:tc>
          <w:tcPr>
            <w:tcW w:w="3884" w:type="dxa"/>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允许境外知名仲裁及争议解决机构经北京市人民政府司法行政部门登记并报国务院司法行政部门备案，在自贸区内设立业务机构。</w:t>
            </w:r>
          </w:p>
        </w:tc>
      </w:tr>
      <w:tr>
        <w:tblPrEx>
          <w:tblLayout w:type="fixed"/>
          <w:tblCellMar>
            <w:top w:w="0" w:type="dxa"/>
            <w:left w:w="0" w:type="dxa"/>
            <w:bottom w:w="0" w:type="dxa"/>
            <w:right w:w="0" w:type="dxa"/>
          </w:tblCellMar>
        </w:tblPrEx>
        <w:trPr>
          <w:trHeight w:val="3813"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16</w:t>
            </w:r>
          </w:p>
        </w:tc>
        <w:tc>
          <w:tcPr>
            <w:tcW w:w="1101" w:type="dxa"/>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出口国家重点保护的或进出口国际公约限制进出口的陆生野生动物或其制品审批</w:t>
            </w: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出口国家重点保护的或进出口国际公约限制进出口的陆生野生动物或其制品审批</w:t>
            </w: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市园林</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绿化局</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rPr>
                <w:rFonts w:ascii="仿宋_GB2312" w:hAnsi="宋体" w:eastAsia="仿宋_GB2312" w:cs="仿宋_GB2312"/>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仅在自贸区内实施</w:t>
            </w:r>
          </w:p>
        </w:tc>
        <w:tc>
          <w:tcPr>
            <w:tcW w:w="3884" w:type="dxa"/>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推行网上办理，提供邮寄送达，将办理时限由20个工作日压减至13.5个工作日。</w:t>
            </w:r>
          </w:p>
        </w:tc>
      </w:tr>
      <w:tr>
        <w:tblPrEx>
          <w:tblLayout w:type="fixed"/>
          <w:tblCellMar>
            <w:top w:w="0" w:type="dxa"/>
            <w:left w:w="0" w:type="dxa"/>
            <w:bottom w:w="0" w:type="dxa"/>
            <w:right w:w="0" w:type="dxa"/>
          </w:tblCellMar>
        </w:tblPrEx>
        <w:trPr>
          <w:trHeight w:val="510" w:hRule="exact"/>
          <w:jc w:val="center"/>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序号</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事项名称</w:t>
            </w:r>
          </w:p>
        </w:tc>
        <w:tc>
          <w:tcPr>
            <w:tcW w:w="1190" w:type="dxa"/>
            <w:vMerge w:val="restart"/>
            <w:tcBorders>
              <w:top w:val="single" w:color="000000" w:sz="4" w:space="0"/>
              <w:left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仿宋_GB2312" w:hAnsi="宋体" w:eastAsia="仿宋_GB2312" w:cs="仿宋_GB2312"/>
                <w:color w:val="000000"/>
                <w:sz w:val="24"/>
                <w:szCs w:val="24"/>
              </w:rPr>
            </w:pPr>
            <w:r>
              <w:rPr>
                <w:rFonts w:hint="eastAsia" w:ascii="黑体" w:hAnsi="黑体" w:eastAsia="黑体" w:cs="黑体"/>
                <w:color w:val="000000"/>
                <w:kern w:val="0"/>
                <w:sz w:val="24"/>
                <w:lang w:bidi="ar"/>
              </w:rPr>
              <w:t>实施部门</w:t>
            </w: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仿宋_GB2312" w:hAnsi="宋体" w:eastAsia="仿宋_GB2312" w:cs="仿宋_GB2312"/>
                <w:color w:val="000000"/>
                <w:kern w:val="0"/>
                <w:sz w:val="24"/>
                <w:szCs w:val="24"/>
                <w:lang w:bidi="ar"/>
              </w:rPr>
            </w:pPr>
            <w:r>
              <w:rPr>
                <w:rFonts w:hint="eastAsia" w:ascii="黑体" w:hAnsi="黑体" w:eastAsia="黑体" w:cs="黑体"/>
                <w:color w:val="000000"/>
                <w:sz w:val="24"/>
              </w:rPr>
              <w:t>改革方式</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实施范围</w:t>
            </w:r>
          </w:p>
        </w:tc>
        <w:tc>
          <w:tcPr>
            <w:tcW w:w="388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黑体" w:hAnsi="黑体" w:eastAsia="黑体" w:cs="黑体"/>
                <w:color w:val="000000"/>
                <w:kern w:val="0"/>
                <w:sz w:val="24"/>
                <w:lang w:bidi="ar"/>
              </w:rPr>
              <w:t>具体改革举措</w:t>
            </w:r>
          </w:p>
        </w:tc>
      </w:tr>
      <w:tr>
        <w:tblPrEx>
          <w:tblLayout w:type="fixed"/>
          <w:tblCellMar>
            <w:top w:w="0" w:type="dxa"/>
            <w:left w:w="0" w:type="dxa"/>
            <w:bottom w:w="0" w:type="dxa"/>
            <w:right w:w="0" w:type="dxa"/>
          </w:tblCellMar>
        </w:tblPrEx>
        <w:trPr>
          <w:trHeight w:val="1134" w:hRule="exac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kern w:val="0"/>
                <w:sz w:val="24"/>
                <w:szCs w:val="24"/>
                <w:lang w:bidi="ar"/>
              </w:rPr>
            </w:pPr>
          </w:p>
        </w:tc>
        <w:tc>
          <w:tcPr>
            <w:tcW w:w="11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仿宋_GB2312" w:hAnsi="宋体" w:eastAsia="仿宋_GB2312" w:cs="仿宋_GB2312"/>
                <w:color w:val="000000"/>
                <w:kern w:val="0"/>
                <w:sz w:val="24"/>
                <w:szCs w:val="24"/>
                <w:lang w:bidi="ar"/>
              </w:rPr>
            </w:pPr>
            <w:r>
              <w:rPr>
                <w:rFonts w:hint="eastAsia" w:ascii="黑体" w:hAnsi="宋体" w:eastAsia="黑体" w:cs="黑体"/>
                <w:color w:val="000000"/>
                <w:kern w:val="0"/>
                <w:sz w:val="24"/>
                <w:lang w:bidi="ar"/>
              </w:rPr>
              <w:t>主项</w:t>
            </w: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宋体" w:eastAsia="黑体" w:cs="黑体"/>
                <w:color w:val="000000"/>
                <w:kern w:val="0"/>
                <w:sz w:val="24"/>
                <w:lang w:bidi="ar"/>
              </w:rPr>
              <w:t>办理项</w:t>
            </w:r>
          </w:p>
        </w:tc>
        <w:tc>
          <w:tcPr>
            <w:tcW w:w="1190" w:type="dxa"/>
            <w:vMerge w:val="continue"/>
            <w:tcBorders>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rPr>
                <w:rFonts w:ascii="仿宋_GB2312" w:hAnsi="宋体" w:eastAsia="仿宋_GB2312" w:cs="仿宋_GB2312"/>
                <w:color w:val="000000"/>
                <w:sz w:val="24"/>
                <w:szCs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黑体" w:hAnsi="宋体" w:eastAsia="黑体" w:cs="黑体"/>
                <w:color w:val="000000"/>
                <w:kern w:val="0"/>
                <w:sz w:val="24"/>
                <w:lang w:bidi="ar"/>
              </w:rPr>
              <w:t>直接</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取消</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审批</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黑体" w:hAnsi="宋体" w:eastAsia="黑体" w:cs="黑体"/>
                <w:color w:val="000000"/>
                <w:kern w:val="0"/>
                <w:sz w:val="24"/>
                <w:lang w:bidi="ar"/>
              </w:rPr>
              <w:t>审批</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改为</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备案</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黑体" w:hAnsi="宋体" w:eastAsia="黑体" w:cs="黑体"/>
                <w:color w:val="000000"/>
                <w:kern w:val="0"/>
                <w:sz w:val="24"/>
                <w:lang w:bidi="ar"/>
              </w:rPr>
              <w:t>实行</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告知</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承诺</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宋体" w:eastAsia="黑体" w:cs="黑体"/>
                <w:color w:val="000000"/>
                <w:kern w:val="0"/>
                <w:sz w:val="24"/>
                <w:lang w:bidi="ar"/>
              </w:rPr>
              <w:t>优化</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审批</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服务</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kern w:val="0"/>
                <w:sz w:val="24"/>
                <w:szCs w:val="24"/>
                <w:lang w:bidi="ar"/>
              </w:rPr>
            </w:pPr>
          </w:p>
        </w:tc>
        <w:tc>
          <w:tcPr>
            <w:tcW w:w="38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r>
      <w:tr>
        <w:tblPrEx>
          <w:tblLayout w:type="fixed"/>
          <w:tblCellMar>
            <w:top w:w="0" w:type="dxa"/>
            <w:left w:w="0" w:type="dxa"/>
            <w:bottom w:w="0" w:type="dxa"/>
            <w:right w:w="0" w:type="dxa"/>
          </w:tblCellMar>
        </w:tblPrEx>
        <w:trPr>
          <w:trHeight w:val="3422"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17</w:t>
            </w:r>
          </w:p>
        </w:tc>
        <w:tc>
          <w:tcPr>
            <w:tcW w:w="1101" w:type="dxa"/>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出口国家重点保护野生植物或进出口中国参加的国际公约限制进出口野生植物或其制品审批</w:t>
            </w:r>
          </w:p>
        </w:tc>
        <w:tc>
          <w:tcPr>
            <w:tcW w:w="2379" w:type="dxa"/>
            <w:tcBorders>
              <w:top w:val="single" w:color="000000" w:sz="4" w:space="0"/>
              <w:left w:val="single" w:color="000000" w:sz="4" w:space="0"/>
              <w:bottom w:val="single" w:color="auto" w:sz="4" w:space="0"/>
              <w:right w:val="single" w:color="000000" w:sz="4" w:space="0"/>
            </w:tcBorders>
            <w:shd w:val="clear" w:color="auto" w:fill="FFFFFF"/>
            <w:tcMar>
              <w:top w:w="0"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出口国家重点保护野生植物或进出口中国参加的国际公约限制进出口野生植物或其制品审批</w:t>
            </w: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jc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市园林</w:t>
            </w:r>
          </w:p>
          <w:p>
            <w:pPr>
              <w:jc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绿化局</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rPr>
                <w:rFonts w:ascii="仿宋_GB2312" w:hAnsi="宋体" w:eastAsia="仿宋_GB2312" w:cs="仿宋_GB2312"/>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auto" w:sz="4" w:space="0"/>
              <w:right w:val="single" w:color="000000" w:sz="4" w:space="0"/>
            </w:tcBorders>
            <w:shd w:val="clear" w:color="auto" w:fill="FFFFFF"/>
            <w:tcMar>
              <w:top w:w="0" w:type="dxa"/>
              <w:left w:w="57" w:type="dxa"/>
              <w:bottom w:w="0" w:type="dxa"/>
              <w:right w:w="57"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仅在自贸区内实施</w:t>
            </w:r>
          </w:p>
        </w:tc>
        <w:tc>
          <w:tcPr>
            <w:tcW w:w="3884" w:type="dxa"/>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推行网上办理，提供邮寄送达，将办理时限由20个工作日压减至13.5个工作日。</w:t>
            </w:r>
          </w:p>
        </w:tc>
      </w:tr>
      <w:tr>
        <w:tblPrEx>
          <w:tblLayout w:type="fixed"/>
          <w:tblCellMar>
            <w:top w:w="0" w:type="dxa"/>
            <w:left w:w="0" w:type="dxa"/>
            <w:bottom w:w="0" w:type="dxa"/>
            <w:right w:w="0" w:type="dxa"/>
          </w:tblCellMar>
        </w:tblPrEx>
        <w:trPr>
          <w:trHeight w:val="803"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lang w:bidi="ar"/>
              </w:rPr>
              <w:t>18</w:t>
            </w:r>
          </w:p>
        </w:tc>
        <w:tc>
          <w:tcPr>
            <w:tcW w:w="1101" w:type="dxa"/>
            <w:vMerge w:val="restart"/>
            <w:tcBorders>
              <w:top w:val="single" w:color="000000" w:sz="4" w:space="0"/>
              <w:left w:val="single" w:color="000000" w:sz="4" w:space="0"/>
              <w:bottom w:val="single" w:color="000000" w:sz="4" w:space="0"/>
              <w:right w:val="single" w:color="auto" w:sz="4" w:space="0"/>
            </w:tcBorders>
            <w:shd w:val="clear" w:color="auto" w:fill="FFFFFF"/>
            <w:tcMar>
              <w:top w:w="0" w:type="dxa"/>
              <w:left w:w="57" w:type="dxa"/>
              <w:bottom w:w="0" w:type="dxa"/>
              <w:right w:w="57" w:type="dxa"/>
            </w:tcMar>
            <w:vAlign w:val="center"/>
          </w:tcPr>
          <w:p>
            <w:pPr>
              <w:widowControl/>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lang w:bidi="ar"/>
              </w:rPr>
              <w:t>建筑工程施工许可证核发</w:t>
            </w:r>
          </w:p>
        </w:tc>
        <w:tc>
          <w:tcPr>
            <w:tcW w:w="2379" w:type="dxa"/>
            <w:tcBorders>
              <w:top w:val="single" w:color="auto" w:sz="4" w:space="0"/>
              <w:left w:val="single" w:color="auto" w:sz="4" w:space="0"/>
              <w:bottom w:val="single" w:color="auto" w:sz="4" w:space="0"/>
              <w:right w:val="single" w:color="auto" w:sz="4" w:space="0"/>
            </w:tcBorders>
            <w:shd w:val="clear" w:color="auto" w:fill="FFFFFF"/>
            <w:tcMar>
              <w:top w:w="0" w:type="dxa"/>
              <w:left w:w="57" w:type="dxa"/>
              <w:bottom w:w="0" w:type="dxa"/>
              <w:right w:w="57" w:type="dxa"/>
            </w:tcMar>
            <w:vAlign w:val="center"/>
          </w:tcPr>
          <w:p>
            <w:pPr>
              <w:widowControl/>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lang w:bidi="ar"/>
              </w:rPr>
              <w:t>房屋建筑工程施工许可证核发</w:t>
            </w:r>
          </w:p>
        </w:tc>
        <w:tc>
          <w:tcPr>
            <w:tcW w:w="1190" w:type="dxa"/>
            <w:vMerge w:val="restart"/>
            <w:tcBorders>
              <w:top w:val="single" w:color="000000" w:sz="4" w:space="0"/>
              <w:left w:val="single" w:color="auto"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lang w:bidi="ar"/>
              </w:rPr>
              <w:t>市住建委、各区住建委</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jc w:val="center"/>
              <w:rPr>
                <w:rFonts w:ascii="仿宋_GB2312" w:hAnsi="宋体" w:eastAsia="仿宋_GB2312" w:cs="仿宋_GB2312"/>
                <w:color w:val="000000"/>
                <w:sz w:val="24"/>
                <w:szCs w:val="24"/>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jc w:val="center"/>
              <w:rPr>
                <w:rFonts w:ascii="仿宋_GB2312" w:hAnsi="宋体" w:eastAsia="仿宋_GB2312" w:cs="仿宋_GB2312"/>
                <w:color w:val="000000"/>
                <w:sz w:val="24"/>
                <w:szCs w:val="24"/>
              </w:rPr>
            </w:pPr>
          </w:p>
        </w:tc>
        <w:tc>
          <w:tcPr>
            <w:tcW w:w="555" w:type="dxa"/>
            <w:vMerge w:val="restart"/>
            <w:tcBorders>
              <w:top w:val="single" w:color="000000" w:sz="4" w:space="0"/>
              <w:left w:val="single" w:color="000000" w:sz="4" w:space="0"/>
              <w:bottom w:val="single" w:color="000000" w:sz="4" w:space="0"/>
              <w:right w:val="single" w:color="auto" w:sz="4" w:space="0"/>
            </w:tcBorders>
            <w:shd w:val="clear" w:color="auto" w:fill="FFFFFF"/>
            <w:tcMar>
              <w:top w:w="0" w:type="dxa"/>
              <w:left w:w="57" w:type="dxa"/>
              <w:bottom w:w="0" w:type="dxa"/>
              <w:right w:w="57" w:type="dxa"/>
            </w:tcMar>
            <w:vAlign w:val="center"/>
          </w:tcPr>
          <w:p>
            <w:pPr>
              <w:jc w:val="center"/>
              <w:rPr>
                <w:rFonts w:ascii="仿宋_GB2312" w:hAnsi="宋体" w:eastAsia="仿宋_GB2312" w:cs="仿宋_GB2312"/>
                <w:color w:val="000000"/>
                <w:sz w:val="24"/>
                <w:szCs w:val="24"/>
              </w:rPr>
            </w:pPr>
          </w:p>
        </w:tc>
        <w:tc>
          <w:tcPr>
            <w:tcW w:w="555" w:type="dxa"/>
            <w:tcBorders>
              <w:top w:val="single" w:color="auto" w:sz="4" w:space="0"/>
              <w:left w:val="single" w:color="auto" w:sz="4" w:space="0"/>
              <w:bottom w:val="single" w:color="auto" w:sz="4" w:space="0"/>
              <w:right w:val="single" w:color="auto" w:sz="4" w:space="0"/>
            </w:tcBorders>
            <w:shd w:val="clear" w:color="auto" w:fill="FFFFFF"/>
            <w:tcMar>
              <w:top w:w="0" w:type="dxa"/>
              <w:left w:w="57" w:type="dxa"/>
              <w:bottom w:w="0" w:type="dxa"/>
              <w:right w:w="57"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lang w:bidi="ar"/>
              </w:rPr>
              <w:t>√</w:t>
            </w:r>
          </w:p>
        </w:tc>
        <w:tc>
          <w:tcPr>
            <w:tcW w:w="1335" w:type="dxa"/>
            <w:vMerge w:val="restart"/>
            <w:tcBorders>
              <w:top w:val="single" w:color="000000" w:sz="4" w:space="0"/>
              <w:left w:val="single" w:color="auto"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widowControl/>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lang w:bidi="ar"/>
              </w:rPr>
              <w:t>仅在自贸区内实施</w:t>
            </w:r>
          </w:p>
        </w:tc>
        <w:tc>
          <w:tcPr>
            <w:tcW w:w="3884"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widowControl/>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lang w:bidi="ar"/>
              </w:rPr>
              <w:t>将建筑工程施工许可审批权限及其后续监管职责下放至自贸试验区。在自贸试验区未明确审批及质量安全监督管理承接机构的情况下，过渡期施工许可审批权限及其后续监管职责按照现有施工许可市区审批权限分工由属地负责。</w:t>
            </w:r>
          </w:p>
        </w:tc>
      </w:tr>
      <w:tr>
        <w:tblPrEx>
          <w:tblLayout w:type="fixed"/>
          <w:tblCellMar>
            <w:top w:w="0" w:type="dxa"/>
            <w:left w:w="0" w:type="dxa"/>
            <w:bottom w:w="0" w:type="dxa"/>
            <w:right w:w="0" w:type="dxa"/>
          </w:tblCellMar>
        </w:tblPrEx>
        <w:trPr>
          <w:trHeight w:val="814"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lang w:bidi="ar"/>
              </w:rPr>
              <w:t>19</w:t>
            </w:r>
          </w:p>
        </w:tc>
        <w:tc>
          <w:tcPr>
            <w:tcW w:w="110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widowControl/>
              <w:rPr>
                <w:rFonts w:ascii="仿宋_GB2312" w:hAnsi="宋体" w:eastAsia="仿宋_GB2312" w:cs="仿宋_GB2312"/>
                <w:color w:val="000000"/>
                <w:kern w:val="0"/>
                <w:sz w:val="24"/>
                <w:szCs w:val="24"/>
                <w:lang w:bidi="ar"/>
              </w:rPr>
            </w:pPr>
          </w:p>
        </w:tc>
        <w:tc>
          <w:tcPr>
            <w:tcW w:w="23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lang w:bidi="ar"/>
              </w:rPr>
              <w:t>市政基础设施工程施工许可证核发</w:t>
            </w:r>
          </w:p>
        </w:tc>
        <w:tc>
          <w:tcPr>
            <w:tcW w:w="119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kern w:val="0"/>
                <w:sz w:val="24"/>
                <w:szCs w:val="24"/>
                <w:lang w:bidi="ar"/>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szCs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szCs w:val="24"/>
              </w:rPr>
            </w:pPr>
          </w:p>
        </w:tc>
        <w:tc>
          <w:tcPr>
            <w:tcW w:w="55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仿宋_GB2312"/>
                <w:color w:val="000000"/>
                <w:sz w:val="24"/>
                <w:szCs w:val="24"/>
              </w:rPr>
            </w:pPr>
          </w:p>
        </w:tc>
        <w:tc>
          <w:tcPr>
            <w:tcW w:w="5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lang w:bidi="ar"/>
              </w:rPr>
              <w:t>√</w:t>
            </w:r>
          </w:p>
        </w:tc>
        <w:tc>
          <w:tcPr>
            <w:tcW w:w="1335"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仿宋_GB2312"/>
                <w:color w:val="000000"/>
                <w:kern w:val="0"/>
                <w:sz w:val="24"/>
                <w:szCs w:val="24"/>
                <w:lang w:bidi="ar"/>
              </w:rPr>
            </w:pPr>
          </w:p>
        </w:tc>
        <w:tc>
          <w:tcPr>
            <w:tcW w:w="38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kern w:val="0"/>
                <w:sz w:val="24"/>
                <w:szCs w:val="24"/>
                <w:lang w:bidi="ar"/>
              </w:rPr>
            </w:pPr>
          </w:p>
        </w:tc>
      </w:tr>
      <w:tr>
        <w:tblPrEx>
          <w:tblLayout w:type="fixed"/>
          <w:tblCellMar>
            <w:top w:w="0" w:type="dxa"/>
            <w:left w:w="0" w:type="dxa"/>
            <w:bottom w:w="0" w:type="dxa"/>
            <w:right w:w="0" w:type="dxa"/>
          </w:tblCellMar>
        </w:tblPrEx>
        <w:trPr>
          <w:trHeight w:val="1038"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lang w:bidi="ar"/>
              </w:rPr>
              <w:t>20</w:t>
            </w:r>
          </w:p>
        </w:tc>
        <w:tc>
          <w:tcPr>
            <w:tcW w:w="110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widowControl/>
              <w:rPr>
                <w:rFonts w:ascii="仿宋_GB2312" w:hAnsi="宋体" w:eastAsia="仿宋_GB2312" w:cs="仿宋_GB2312"/>
                <w:color w:val="000000"/>
                <w:kern w:val="0"/>
                <w:sz w:val="24"/>
                <w:szCs w:val="24"/>
                <w:lang w:bidi="ar"/>
              </w:rPr>
            </w:pPr>
          </w:p>
        </w:tc>
        <w:tc>
          <w:tcPr>
            <w:tcW w:w="23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lang w:bidi="ar"/>
              </w:rPr>
              <w:t>装饰装修工程施工许可证核发</w:t>
            </w:r>
          </w:p>
        </w:tc>
        <w:tc>
          <w:tcPr>
            <w:tcW w:w="119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kern w:val="0"/>
                <w:sz w:val="24"/>
                <w:szCs w:val="24"/>
                <w:lang w:bidi="ar"/>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szCs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szCs w:val="24"/>
              </w:rPr>
            </w:pPr>
          </w:p>
        </w:tc>
        <w:tc>
          <w:tcPr>
            <w:tcW w:w="55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仿宋_GB2312"/>
                <w:color w:val="000000"/>
                <w:sz w:val="24"/>
                <w:szCs w:val="24"/>
              </w:rPr>
            </w:pPr>
          </w:p>
        </w:tc>
        <w:tc>
          <w:tcPr>
            <w:tcW w:w="5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lang w:bidi="ar"/>
              </w:rPr>
              <w:t>√</w:t>
            </w:r>
          </w:p>
        </w:tc>
        <w:tc>
          <w:tcPr>
            <w:tcW w:w="1335"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仿宋_GB2312"/>
                <w:color w:val="000000"/>
                <w:kern w:val="0"/>
                <w:sz w:val="24"/>
                <w:szCs w:val="24"/>
                <w:lang w:bidi="ar"/>
              </w:rPr>
            </w:pPr>
          </w:p>
        </w:tc>
        <w:tc>
          <w:tcPr>
            <w:tcW w:w="38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kern w:val="0"/>
                <w:sz w:val="24"/>
                <w:szCs w:val="24"/>
                <w:lang w:bidi="ar"/>
              </w:rPr>
            </w:pPr>
          </w:p>
        </w:tc>
      </w:tr>
      <w:tr>
        <w:tblPrEx>
          <w:tblLayout w:type="fixed"/>
          <w:tblCellMar>
            <w:top w:w="0" w:type="dxa"/>
            <w:left w:w="0" w:type="dxa"/>
            <w:bottom w:w="0" w:type="dxa"/>
            <w:right w:w="0" w:type="dxa"/>
          </w:tblCellMar>
        </w:tblPrEx>
        <w:trPr>
          <w:trHeight w:val="953"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lang w:bidi="ar"/>
              </w:rPr>
              <w:t>21</w:t>
            </w:r>
          </w:p>
        </w:tc>
        <w:tc>
          <w:tcPr>
            <w:tcW w:w="110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widowControl/>
              <w:rPr>
                <w:rFonts w:ascii="仿宋_GB2312" w:hAnsi="宋体" w:eastAsia="仿宋_GB2312" w:cs="仿宋_GB2312"/>
                <w:color w:val="000000"/>
                <w:kern w:val="0"/>
                <w:sz w:val="24"/>
                <w:szCs w:val="24"/>
                <w:lang w:bidi="ar"/>
              </w:rPr>
            </w:pPr>
          </w:p>
        </w:tc>
        <w:tc>
          <w:tcPr>
            <w:tcW w:w="23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lang w:bidi="ar"/>
              </w:rPr>
              <w:t>建筑工程施工许可证变更申请</w:t>
            </w:r>
          </w:p>
        </w:tc>
        <w:tc>
          <w:tcPr>
            <w:tcW w:w="119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kern w:val="0"/>
                <w:sz w:val="24"/>
                <w:szCs w:val="24"/>
                <w:lang w:bidi="ar"/>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szCs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szCs w:val="24"/>
              </w:rPr>
            </w:pPr>
          </w:p>
        </w:tc>
        <w:tc>
          <w:tcPr>
            <w:tcW w:w="55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仿宋_GB2312"/>
                <w:color w:val="000000"/>
                <w:sz w:val="24"/>
                <w:szCs w:val="24"/>
              </w:rPr>
            </w:pPr>
          </w:p>
        </w:tc>
        <w:tc>
          <w:tcPr>
            <w:tcW w:w="5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lang w:bidi="ar"/>
              </w:rPr>
              <w:t>√</w:t>
            </w:r>
          </w:p>
        </w:tc>
        <w:tc>
          <w:tcPr>
            <w:tcW w:w="1335"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仿宋_GB2312"/>
                <w:color w:val="000000"/>
                <w:kern w:val="0"/>
                <w:sz w:val="24"/>
                <w:szCs w:val="24"/>
                <w:lang w:bidi="ar"/>
              </w:rPr>
            </w:pPr>
          </w:p>
        </w:tc>
        <w:tc>
          <w:tcPr>
            <w:tcW w:w="38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kern w:val="0"/>
                <w:sz w:val="24"/>
                <w:szCs w:val="24"/>
                <w:lang w:bidi="ar"/>
              </w:rPr>
            </w:pPr>
          </w:p>
        </w:tc>
      </w:tr>
      <w:tr>
        <w:tblPrEx>
          <w:tblLayout w:type="fixed"/>
          <w:tblCellMar>
            <w:top w:w="0" w:type="dxa"/>
            <w:left w:w="0" w:type="dxa"/>
            <w:bottom w:w="0" w:type="dxa"/>
            <w:right w:w="0" w:type="dxa"/>
          </w:tblCellMar>
        </w:tblPrEx>
        <w:trPr>
          <w:trHeight w:val="510" w:hRule="exact"/>
          <w:jc w:val="center"/>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序号</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事项名称</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实施部门</w:t>
            </w: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仿宋_GB2312" w:hAnsi="宋体" w:eastAsia="仿宋_GB2312" w:cs="仿宋_GB2312"/>
                <w:color w:val="000000"/>
                <w:kern w:val="0"/>
                <w:sz w:val="24"/>
                <w:szCs w:val="24"/>
                <w:lang w:bidi="ar"/>
              </w:rPr>
            </w:pPr>
            <w:r>
              <w:rPr>
                <w:rFonts w:hint="eastAsia" w:ascii="黑体" w:hAnsi="黑体" w:eastAsia="黑体" w:cs="黑体"/>
                <w:color w:val="000000"/>
                <w:sz w:val="24"/>
              </w:rPr>
              <w:t>改革方式</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实施范围</w:t>
            </w:r>
          </w:p>
        </w:tc>
        <w:tc>
          <w:tcPr>
            <w:tcW w:w="388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具体改革举措</w:t>
            </w:r>
          </w:p>
        </w:tc>
      </w:tr>
      <w:tr>
        <w:tblPrEx>
          <w:tblLayout w:type="fixed"/>
          <w:tblCellMar>
            <w:top w:w="0" w:type="dxa"/>
            <w:left w:w="0" w:type="dxa"/>
            <w:bottom w:w="0" w:type="dxa"/>
            <w:right w:w="0" w:type="dxa"/>
          </w:tblCellMar>
        </w:tblPrEx>
        <w:trPr>
          <w:trHeight w:val="1134"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kern w:val="0"/>
                <w:sz w:val="24"/>
                <w:szCs w:val="24"/>
                <w:lang w:bidi="ar"/>
              </w:rPr>
            </w:pPr>
          </w:p>
        </w:tc>
        <w:tc>
          <w:tcPr>
            <w:tcW w:w="11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仿宋_GB2312" w:hAnsi="宋体" w:eastAsia="仿宋_GB2312" w:cs="仿宋_GB2312"/>
                <w:color w:val="000000"/>
                <w:kern w:val="0"/>
                <w:sz w:val="24"/>
                <w:szCs w:val="24"/>
                <w:lang w:bidi="ar"/>
              </w:rPr>
            </w:pPr>
            <w:r>
              <w:rPr>
                <w:rFonts w:hint="eastAsia" w:ascii="黑体" w:hAnsi="宋体" w:eastAsia="黑体" w:cs="黑体"/>
                <w:color w:val="000000"/>
                <w:kern w:val="0"/>
                <w:sz w:val="24"/>
                <w:lang w:bidi="ar"/>
              </w:rPr>
              <w:t>主项</w:t>
            </w: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宋体" w:eastAsia="黑体" w:cs="黑体"/>
                <w:color w:val="000000"/>
                <w:kern w:val="0"/>
                <w:sz w:val="24"/>
                <w:lang w:bidi="ar"/>
              </w:rPr>
              <w:t>办理项</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kern w:val="0"/>
                <w:sz w:val="24"/>
                <w:szCs w:val="24"/>
                <w:lang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黑体" w:hAnsi="宋体" w:eastAsia="黑体" w:cs="黑体"/>
                <w:color w:val="000000"/>
                <w:kern w:val="0"/>
                <w:sz w:val="24"/>
                <w:lang w:bidi="ar"/>
              </w:rPr>
              <w:t>直接</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取消</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审批</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黑体" w:hAnsi="宋体" w:eastAsia="黑体" w:cs="黑体"/>
                <w:color w:val="000000"/>
                <w:kern w:val="0"/>
                <w:sz w:val="24"/>
                <w:lang w:bidi="ar"/>
              </w:rPr>
              <w:t>审批</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改为</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备案</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黑体" w:hAnsi="宋体" w:eastAsia="黑体" w:cs="黑体"/>
                <w:color w:val="000000"/>
                <w:kern w:val="0"/>
                <w:sz w:val="24"/>
                <w:lang w:bidi="ar"/>
              </w:rPr>
              <w:t>实行</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告知</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承诺</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宋体" w:eastAsia="黑体" w:cs="黑体"/>
                <w:color w:val="000000"/>
                <w:kern w:val="0"/>
                <w:sz w:val="24"/>
                <w:lang w:bidi="ar"/>
              </w:rPr>
              <w:t>优化</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审批</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服务</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kern w:val="0"/>
                <w:sz w:val="24"/>
                <w:szCs w:val="24"/>
                <w:lang w:bidi="ar"/>
              </w:rPr>
            </w:pPr>
          </w:p>
        </w:tc>
        <w:tc>
          <w:tcPr>
            <w:tcW w:w="38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kern w:val="0"/>
                <w:sz w:val="24"/>
                <w:szCs w:val="24"/>
                <w:lang w:bidi="ar"/>
              </w:rPr>
            </w:pPr>
          </w:p>
        </w:tc>
      </w:tr>
      <w:tr>
        <w:tblPrEx>
          <w:tblLayout w:type="fixed"/>
          <w:tblCellMar>
            <w:top w:w="0" w:type="dxa"/>
            <w:left w:w="0" w:type="dxa"/>
            <w:bottom w:w="0" w:type="dxa"/>
            <w:right w:w="0" w:type="dxa"/>
          </w:tblCellMar>
        </w:tblPrEx>
        <w:trPr>
          <w:trHeight w:val="6823"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22</w:t>
            </w:r>
          </w:p>
        </w:tc>
        <w:tc>
          <w:tcPr>
            <w:tcW w:w="1101" w:type="dxa"/>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技术合同认定登记</w:t>
            </w: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技术合同认定登记</w:t>
            </w: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市科委</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rPr>
                <w:rFonts w:ascii="仿宋_GB2312" w:hAnsi="宋体" w:eastAsia="仿宋_GB2312" w:cs="仿宋_GB2312"/>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仅在自贸区内实施</w:t>
            </w:r>
          </w:p>
        </w:tc>
        <w:tc>
          <w:tcPr>
            <w:tcW w:w="3884" w:type="dxa"/>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1.企业办理技术合同认定登记时，不再要求提交以下材料：（1）承担政府项目而订立的合同申请认定登记的，提交双方订立的合同、协议书、任务书或投标文件和中标通知书技术合同标的；（2）依照国家有关规定，投产前需经有关部门审批或领取生产许可证的提交生产许可证或有关批准文件；（3）技术合同登记用户注册表技术合同登记表；（4）技术合同有密级的，应当出具确定密级的单位同意申请认定登记的证明。</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2.办理时限由22个工作日压减至10个工作日。</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3.提供双向寄递。</w:t>
            </w:r>
          </w:p>
        </w:tc>
      </w:tr>
      <w:tr>
        <w:tblPrEx>
          <w:tblLayout w:type="fixed"/>
          <w:tblCellMar>
            <w:top w:w="0" w:type="dxa"/>
            <w:left w:w="0" w:type="dxa"/>
            <w:bottom w:w="0" w:type="dxa"/>
            <w:right w:w="0" w:type="dxa"/>
          </w:tblCellMar>
        </w:tblPrEx>
        <w:trPr>
          <w:trHeight w:val="510" w:hRule="exact"/>
          <w:jc w:val="center"/>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序号</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事项名称</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实施部门</w:t>
            </w: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仿宋_GB2312" w:hAnsi="宋体" w:eastAsia="仿宋_GB2312" w:cs="仿宋_GB2312"/>
                <w:color w:val="000000"/>
                <w:kern w:val="0"/>
                <w:sz w:val="24"/>
                <w:szCs w:val="24"/>
                <w:lang w:bidi="ar"/>
              </w:rPr>
            </w:pPr>
            <w:r>
              <w:rPr>
                <w:rFonts w:hint="eastAsia" w:ascii="黑体" w:hAnsi="黑体" w:eastAsia="黑体" w:cs="黑体"/>
                <w:color w:val="000000"/>
                <w:sz w:val="24"/>
              </w:rPr>
              <w:t>改革方式</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实施范围</w:t>
            </w:r>
          </w:p>
        </w:tc>
        <w:tc>
          <w:tcPr>
            <w:tcW w:w="388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具体改革举措</w:t>
            </w:r>
          </w:p>
        </w:tc>
      </w:tr>
      <w:tr>
        <w:tblPrEx>
          <w:tblLayout w:type="fixed"/>
          <w:tblCellMar>
            <w:top w:w="0" w:type="dxa"/>
            <w:left w:w="0" w:type="dxa"/>
            <w:bottom w:w="0" w:type="dxa"/>
            <w:right w:w="0" w:type="dxa"/>
          </w:tblCellMar>
        </w:tblPrEx>
        <w:trPr>
          <w:trHeight w:val="1134" w:hRule="exac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kern w:val="0"/>
                <w:sz w:val="24"/>
                <w:szCs w:val="24"/>
                <w:lang w:bidi="ar"/>
              </w:rPr>
            </w:pPr>
          </w:p>
        </w:tc>
        <w:tc>
          <w:tcPr>
            <w:tcW w:w="11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仿宋_GB2312" w:hAnsi="宋体" w:eastAsia="仿宋_GB2312" w:cs="仿宋_GB2312"/>
                <w:color w:val="000000"/>
                <w:kern w:val="0"/>
                <w:sz w:val="24"/>
                <w:szCs w:val="24"/>
                <w:lang w:bidi="ar"/>
              </w:rPr>
            </w:pPr>
            <w:r>
              <w:rPr>
                <w:rFonts w:hint="eastAsia" w:ascii="黑体" w:hAnsi="宋体" w:eastAsia="黑体" w:cs="黑体"/>
                <w:color w:val="000000"/>
                <w:kern w:val="0"/>
                <w:sz w:val="24"/>
                <w:lang w:bidi="ar"/>
              </w:rPr>
              <w:t>主项</w:t>
            </w: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宋体" w:eastAsia="黑体" w:cs="黑体"/>
                <w:color w:val="000000"/>
                <w:kern w:val="0"/>
                <w:sz w:val="24"/>
                <w:lang w:bidi="ar"/>
              </w:rPr>
              <w:t>办理项</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kern w:val="0"/>
                <w:sz w:val="24"/>
                <w:szCs w:val="24"/>
                <w:lang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黑体" w:hAnsi="宋体" w:eastAsia="黑体" w:cs="黑体"/>
                <w:color w:val="000000"/>
                <w:kern w:val="0"/>
                <w:sz w:val="24"/>
                <w:lang w:bidi="ar"/>
              </w:rPr>
              <w:t>直接</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取消</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审批</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黑体" w:hAnsi="宋体" w:eastAsia="黑体" w:cs="黑体"/>
                <w:color w:val="000000"/>
                <w:kern w:val="0"/>
                <w:sz w:val="24"/>
                <w:lang w:bidi="ar"/>
              </w:rPr>
              <w:t>审批</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改为</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备案</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黑体" w:hAnsi="宋体" w:eastAsia="黑体" w:cs="黑体"/>
                <w:color w:val="000000"/>
                <w:kern w:val="0"/>
                <w:sz w:val="24"/>
                <w:lang w:bidi="ar"/>
              </w:rPr>
              <w:t>实行</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告知</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承诺</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宋体" w:eastAsia="黑体" w:cs="黑体"/>
                <w:color w:val="000000"/>
                <w:kern w:val="0"/>
                <w:sz w:val="24"/>
                <w:lang w:bidi="ar"/>
              </w:rPr>
              <w:t>优化</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审批</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服务</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kern w:val="0"/>
                <w:sz w:val="24"/>
                <w:szCs w:val="24"/>
                <w:lang w:bidi="ar"/>
              </w:rPr>
            </w:pPr>
          </w:p>
        </w:tc>
        <w:tc>
          <w:tcPr>
            <w:tcW w:w="38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kern w:val="0"/>
                <w:sz w:val="24"/>
                <w:szCs w:val="24"/>
                <w:lang w:bidi="ar"/>
              </w:rPr>
            </w:pPr>
          </w:p>
        </w:tc>
      </w:tr>
      <w:tr>
        <w:tblPrEx>
          <w:tblLayout w:type="fixed"/>
          <w:tblCellMar>
            <w:top w:w="0" w:type="dxa"/>
            <w:left w:w="0" w:type="dxa"/>
            <w:bottom w:w="0" w:type="dxa"/>
            <w:right w:w="0" w:type="dxa"/>
          </w:tblCellMar>
        </w:tblPrEx>
        <w:trPr>
          <w:trHeight w:val="100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23</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保险公司支公司及以下的分支机构设立、撤销</w:t>
            </w: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保险公司支公司及以下的分支机构设立</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北京银保监局</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jc w:val="center"/>
              <w:rPr>
                <w:rFonts w:ascii="仿宋_GB2312" w:hAnsi="宋体" w:eastAsia="仿宋_GB2312" w:cs="仿宋_GB2312"/>
                <w:color w:val="000000"/>
                <w:sz w:val="24"/>
                <w:szCs w:val="24"/>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jc w:val="center"/>
              <w:rPr>
                <w:rFonts w:ascii="仿宋_GB2312" w:hAnsi="宋体" w:eastAsia="仿宋_GB2312" w:cs="仿宋_GB2312"/>
                <w:color w:val="000000"/>
                <w:sz w:val="24"/>
                <w:szCs w:val="24"/>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jc w:val="center"/>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仅在自贸区内实施</w:t>
            </w:r>
          </w:p>
        </w:tc>
        <w:tc>
          <w:tcPr>
            <w:tcW w:w="388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保险公司在自贸区内设立、撤销支公司及以下分支机构的，无需报经北京银保监局事先审批，实行事前备案制。</w:t>
            </w:r>
          </w:p>
        </w:tc>
      </w:tr>
      <w:tr>
        <w:tblPrEx>
          <w:tblLayout w:type="fixed"/>
          <w:tblCellMar>
            <w:top w:w="0" w:type="dxa"/>
            <w:left w:w="0" w:type="dxa"/>
            <w:bottom w:w="0" w:type="dxa"/>
            <w:right w:w="0" w:type="dxa"/>
          </w:tblCellMar>
        </w:tblPrEx>
        <w:trPr>
          <w:trHeight w:val="102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24</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rPr>
                <w:rFonts w:ascii="仿宋_GB2312" w:hAnsi="宋体" w:eastAsia="仿宋_GB2312" w:cs="仿宋_GB2312"/>
                <w:color w:val="000000"/>
                <w:sz w:val="24"/>
                <w:szCs w:val="24"/>
              </w:rPr>
            </w:pP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保险公司支公司及以下的分支机构撤销</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jc w:val="left"/>
              <w:rPr>
                <w:rFonts w:ascii="仿宋_GB2312" w:hAnsi="宋体" w:eastAsia="仿宋_GB2312" w:cs="仿宋_GB2312"/>
                <w:color w:val="000000"/>
                <w:sz w:val="24"/>
                <w:szCs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jc w:val="left"/>
              <w:rPr>
                <w:rFonts w:ascii="仿宋_GB2312" w:hAnsi="宋体" w:eastAsia="仿宋_GB2312" w:cs="仿宋_GB2312"/>
                <w:color w:val="000000"/>
                <w:sz w:val="24"/>
                <w:szCs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jc w:val="left"/>
              <w:rPr>
                <w:rFonts w:ascii="仿宋_GB2312" w:hAnsi="宋体" w:eastAsia="仿宋_GB2312" w:cs="仿宋_GB2312"/>
                <w:color w:val="000000"/>
                <w:sz w:val="24"/>
                <w:szCs w:val="24"/>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jc w:val="left"/>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w:t>
            </w:r>
          </w:p>
        </w:tc>
        <w:tc>
          <w:tcPr>
            <w:tcW w:w="1335" w:type="dxa"/>
            <w:vMerge w:val="continue"/>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left"/>
              <w:rPr>
                <w:rFonts w:ascii="仿宋_GB2312" w:hAnsi="宋体" w:eastAsia="仿宋_GB2312" w:cs="仿宋_GB2312"/>
                <w:color w:val="000000"/>
                <w:sz w:val="24"/>
                <w:szCs w:val="24"/>
              </w:rPr>
            </w:pPr>
          </w:p>
        </w:tc>
        <w:tc>
          <w:tcPr>
            <w:tcW w:w="3884" w:type="dxa"/>
            <w:vMerge w:val="continue"/>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rPr>
                <w:rFonts w:ascii="仿宋_GB2312" w:hAnsi="宋体" w:eastAsia="仿宋_GB2312" w:cs="仿宋_GB2312"/>
                <w:color w:val="000000"/>
                <w:sz w:val="24"/>
                <w:szCs w:val="24"/>
              </w:rPr>
            </w:pPr>
          </w:p>
        </w:tc>
      </w:tr>
      <w:tr>
        <w:tblPrEx>
          <w:tblLayout w:type="fixed"/>
          <w:tblCellMar>
            <w:top w:w="0" w:type="dxa"/>
            <w:left w:w="0" w:type="dxa"/>
            <w:bottom w:w="0" w:type="dxa"/>
            <w:right w:w="0" w:type="dxa"/>
          </w:tblCellMar>
        </w:tblPrEx>
        <w:trPr>
          <w:trHeight w:val="85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25</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银行分行级以下（不含分行）分支机构设立、变更、终止</w:t>
            </w: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银行分行级以下（不含分行）设立</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jc w:val="left"/>
              <w:rPr>
                <w:rFonts w:ascii="仿宋_GB2312" w:hAnsi="宋体" w:eastAsia="仿宋_GB2312" w:cs="仿宋_GB2312"/>
                <w:color w:val="000000"/>
                <w:sz w:val="24"/>
                <w:szCs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jc w:val="left"/>
              <w:rPr>
                <w:rFonts w:ascii="仿宋_GB2312" w:hAnsi="宋体" w:eastAsia="仿宋_GB2312" w:cs="仿宋_GB2312"/>
                <w:color w:val="000000"/>
                <w:sz w:val="24"/>
                <w:szCs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jc w:val="left"/>
              <w:rPr>
                <w:rFonts w:ascii="仿宋_GB2312" w:hAnsi="宋体" w:eastAsia="仿宋_GB2312" w:cs="仿宋_GB2312"/>
                <w:color w:val="000000"/>
                <w:sz w:val="24"/>
                <w:szCs w:val="24"/>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jc w:val="left"/>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jc w:val="left"/>
              <w:rPr>
                <w:rFonts w:ascii="仿宋_GB2312" w:hAnsi="宋体" w:eastAsia="仿宋_GB2312" w:cs="仿宋_GB2312"/>
                <w:color w:val="000000"/>
                <w:sz w:val="24"/>
                <w:szCs w:val="24"/>
              </w:rPr>
            </w:pPr>
          </w:p>
        </w:tc>
        <w:tc>
          <w:tcPr>
            <w:tcW w:w="388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银行在自贸区内设立、变更、终止分行级以下（不含分行）分支机构的，无需报经北京银保监局事先审批，实行报告制。其中变更情形包括迁址、更名、升格。</w:t>
            </w:r>
          </w:p>
        </w:tc>
      </w:tr>
      <w:tr>
        <w:tblPrEx>
          <w:tblLayout w:type="fixed"/>
          <w:tblCellMar>
            <w:top w:w="0" w:type="dxa"/>
            <w:left w:w="0" w:type="dxa"/>
            <w:bottom w:w="0" w:type="dxa"/>
            <w:right w:w="0" w:type="dxa"/>
          </w:tblCellMar>
        </w:tblPrEx>
        <w:trPr>
          <w:trHeight w:val="85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26</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rPr>
                <w:rFonts w:ascii="仿宋_GB2312" w:hAnsi="宋体" w:eastAsia="仿宋_GB2312" w:cs="仿宋_GB2312"/>
                <w:color w:val="000000"/>
                <w:sz w:val="24"/>
                <w:szCs w:val="24"/>
              </w:rPr>
            </w:pP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银行分行级以下（不含分行）变更</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jc w:val="left"/>
              <w:rPr>
                <w:rFonts w:ascii="仿宋_GB2312" w:hAnsi="宋体" w:eastAsia="仿宋_GB2312" w:cs="仿宋_GB2312"/>
                <w:color w:val="000000"/>
                <w:sz w:val="24"/>
                <w:szCs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jc w:val="left"/>
              <w:rPr>
                <w:rFonts w:ascii="仿宋_GB2312" w:hAnsi="宋体" w:eastAsia="仿宋_GB2312" w:cs="仿宋_GB2312"/>
                <w:color w:val="000000"/>
                <w:sz w:val="24"/>
                <w:szCs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jc w:val="left"/>
              <w:rPr>
                <w:rFonts w:ascii="仿宋_GB2312" w:hAnsi="宋体" w:eastAsia="仿宋_GB2312" w:cs="仿宋_GB2312"/>
                <w:color w:val="000000"/>
                <w:sz w:val="24"/>
                <w:szCs w:val="24"/>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jc w:val="left"/>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w:t>
            </w:r>
          </w:p>
        </w:tc>
        <w:tc>
          <w:tcPr>
            <w:tcW w:w="1335" w:type="dxa"/>
            <w:vMerge w:val="continue"/>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left"/>
              <w:rPr>
                <w:rFonts w:ascii="仿宋_GB2312" w:hAnsi="宋体" w:eastAsia="仿宋_GB2312" w:cs="仿宋_GB2312"/>
                <w:color w:val="000000"/>
                <w:sz w:val="24"/>
                <w:szCs w:val="24"/>
              </w:rPr>
            </w:pPr>
          </w:p>
        </w:tc>
        <w:tc>
          <w:tcPr>
            <w:tcW w:w="3884" w:type="dxa"/>
            <w:vMerge w:val="continue"/>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rPr>
                <w:rFonts w:ascii="仿宋_GB2312" w:hAnsi="宋体" w:eastAsia="仿宋_GB2312" w:cs="仿宋_GB2312"/>
                <w:color w:val="000000"/>
                <w:sz w:val="24"/>
                <w:szCs w:val="24"/>
              </w:rPr>
            </w:pPr>
          </w:p>
        </w:tc>
      </w:tr>
      <w:tr>
        <w:tblPrEx>
          <w:tblLayout w:type="fixed"/>
          <w:tblCellMar>
            <w:top w:w="0" w:type="dxa"/>
            <w:left w:w="0" w:type="dxa"/>
            <w:bottom w:w="0" w:type="dxa"/>
            <w:right w:w="0" w:type="dxa"/>
          </w:tblCellMar>
        </w:tblPrEx>
        <w:trPr>
          <w:trHeight w:val="85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27</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rPr>
                <w:rFonts w:ascii="仿宋_GB2312" w:hAnsi="宋体" w:eastAsia="仿宋_GB2312" w:cs="仿宋_GB2312"/>
                <w:color w:val="000000"/>
                <w:sz w:val="24"/>
                <w:szCs w:val="24"/>
              </w:rPr>
            </w:pP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银行分行级以下（不含分行）终止</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jc w:val="left"/>
              <w:rPr>
                <w:rFonts w:ascii="仿宋_GB2312" w:hAnsi="宋体" w:eastAsia="仿宋_GB2312" w:cs="仿宋_GB2312"/>
                <w:color w:val="000000"/>
                <w:sz w:val="24"/>
                <w:szCs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jc w:val="left"/>
              <w:rPr>
                <w:rFonts w:ascii="仿宋_GB2312" w:hAnsi="宋体" w:eastAsia="仿宋_GB2312" w:cs="仿宋_GB2312"/>
                <w:color w:val="000000"/>
                <w:sz w:val="24"/>
                <w:szCs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jc w:val="left"/>
              <w:rPr>
                <w:rFonts w:ascii="仿宋_GB2312" w:hAnsi="宋体" w:eastAsia="仿宋_GB2312" w:cs="仿宋_GB2312"/>
                <w:color w:val="000000"/>
                <w:sz w:val="24"/>
                <w:szCs w:val="24"/>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jc w:val="left"/>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w:t>
            </w:r>
          </w:p>
        </w:tc>
        <w:tc>
          <w:tcPr>
            <w:tcW w:w="1335" w:type="dxa"/>
            <w:vMerge w:val="continue"/>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left"/>
              <w:rPr>
                <w:rFonts w:ascii="仿宋_GB2312" w:hAnsi="宋体" w:eastAsia="仿宋_GB2312" w:cs="仿宋_GB2312"/>
                <w:color w:val="000000"/>
                <w:sz w:val="24"/>
                <w:szCs w:val="24"/>
              </w:rPr>
            </w:pPr>
          </w:p>
        </w:tc>
        <w:tc>
          <w:tcPr>
            <w:tcW w:w="3884" w:type="dxa"/>
            <w:vMerge w:val="continue"/>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rPr>
                <w:rFonts w:ascii="仿宋_GB2312" w:hAnsi="宋体" w:eastAsia="仿宋_GB2312" w:cs="仿宋_GB2312"/>
                <w:color w:val="000000"/>
                <w:sz w:val="24"/>
                <w:szCs w:val="24"/>
              </w:rPr>
            </w:pPr>
          </w:p>
        </w:tc>
      </w:tr>
      <w:tr>
        <w:tblPrEx>
          <w:tblLayout w:type="fixed"/>
          <w:tblCellMar>
            <w:top w:w="0" w:type="dxa"/>
            <w:left w:w="0" w:type="dxa"/>
            <w:bottom w:w="0" w:type="dxa"/>
            <w:right w:w="0" w:type="dxa"/>
          </w:tblCellMar>
        </w:tblPrEx>
        <w:trPr>
          <w:trHeight w:val="85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lang w:bidi="ar"/>
              </w:rPr>
              <w:t>28</w:t>
            </w:r>
          </w:p>
        </w:tc>
        <w:tc>
          <w:tcPr>
            <w:tcW w:w="11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银行分行级以下（不含分行）分支机构高管任职资格审核</w:t>
            </w: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lang w:bidi="ar"/>
              </w:rPr>
              <w:t>银行分行级以下（不含分行）分支机构高管任职资格审核</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jc w:val="left"/>
              <w:rPr>
                <w:rFonts w:ascii="仿宋_GB2312" w:hAnsi="宋体" w:eastAsia="仿宋_GB2312" w:cs="仿宋_GB2312"/>
                <w:color w:val="000000"/>
                <w:sz w:val="24"/>
                <w:szCs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jc w:val="left"/>
              <w:rPr>
                <w:rFonts w:ascii="仿宋_GB2312" w:hAnsi="宋体" w:eastAsia="仿宋_GB2312" w:cs="仿宋_GB2312"/>
                <w:color w:val="000000"/>
                <w:sz w:val="24"/>
                <w:szCs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jc w:val="left"/>
              <w:rPr>
                <w:rFonts w:ascii="仿宋_GB2312" w:hAnsi="宋体" w:eastAsia="仿宋_GB2312" w:cs="仿宋_GB2312"/>
                <w:color w:val="000000"/>
                <w:sz w:val="24"/>
                <w:szCs w:val="24"/>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jc w:val="left"/>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仅在自贸区内实施</w:t>
            </w:r>
          </w:p>
        </w:tc>
        <w:tc>
          <w:tcPr>
            <w:tcW w:w="38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在自贸试验区内银行分行级以下（不含分行）分支机构担任主要负责人或者虽未担任相关职务但实际履行其职责的人员，无需报经北京银保监局事先审批，实行事后报告制。</w:t>
            </w:r>
          </w:p>
        </w:tc>
      </w:tr>
      <w:tr>
        <w:tblPrEx>
          <w:tblLayout w:type="fixed"/>
          <w:tblCellMar>
            <w:top w:w="0" w:type="dxa"/>
            <w:left w:w="0" w:type="dxa"/>
            <w:bottom w:w="0" w:type="dxa"/>
            <w:right w:w="0" w:type="dxa"/>
          </w:tblCellMar>
        </w:tblPrEx>
        <w:trPr>
          <w:trHeight w:val="510" w:hRule="exact"/>
          <w:jc w:val="center"/>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序号</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事项名称</w:t>
            </w:r>
          </w:p>
        </w:tc>
        <w:tc>
          <w:tcPr>
            <w:tcW w:w="1190" w:type="dxa"/>
            <w:vMerge w:val="restart"/>
            <w:tcBorders>
              <w:top w:val="single" w:color="000000" w:sz="4" w:space="0"/>
              <w:left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实施部门</w:t>
            </w: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仿宋_GB2312" w:hAnsi="宋体" w:eastAsia="仿宋_GB2312" w:cs="仿宋_GB2312"/>
                <w:color w:val="000000"/>
                <w:kern w:val="0"/>
                <w:sz w:val="24"/>
                <w:szCs w:val="24"/>
                <w:lang w:bidi="ar"/>
              </w:rPr>
            </w:pPr>
            <w:r>
              <w:rPr>
                <w:rFonts w:hint="eastAsia" w:ascii="黑体" w:hAnsi="黑体" w:eastAsia="黑体" w:cs="黑体"/>
                <w:color w:val="000000"/>
                <w:sz w:val="24"/>
              </w:rPr>
              <w:t>改革方式</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实施范围</w:t>
            </w:r>
          </w:p>
        </w:tc>
        <w:tc>
          <w:tcPr>
            <w:tcW w:w="388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具体改革举措</w:t>
            </w:r>
          </w:p>
        </w:tc>
      </w:tr>
      <w:tr>
        <w:tblPrEx>
          <w:tblLayout w:type="fixed"/>
          <w:tblCellMar>
            <w:top w:w="0" w:type="dxa"/>
            <w:left w:w="0" w:type="dxa"/>
            <w:bottom w:w="0" w:type="dxa"/>
            <w:right w:w="0" w:type="dxa"/>
          </w:tblCellMar>
        </w:tblPrEx>
        <w:trPr>
          <w:trHeight w:val="1134" w:hRule="exac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kern w:val="0"/>
                <w:sz w:val="24"/>
                <w:szCs w:val="24"/>
                <w:lang w:bidi="ar"/>
              </w:rPr>
            </w:pPr>
          </w:p>
        </w:tc>
        <w:tc>
          <w:tcPr>
            <w:tcW w:w="11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仿宋_GB2312" w:hAnsi="宋体" w:eastAsia="仿宋_GB2312" w:cs="仿宋_GB2312"/>
                <w:color w:val="000000"/>
                <w:kern w:val="0"/>
                <w:sz w:val="24"/>
                <w:szCs w:val="24"/>
                <w:lang w:bidi="ar"/>
              </w:rPr>
            </w:pPr>
            <w:r>
              <w:rPr>
                <w:rFonts w:hint="eastAsia" w:ascii="黑体" w:hAnsi="宋体" w:eastAsia="黑体" w:cs="黑体"/>
                <w:color w:val="000000"/>
                <w:kern w:val="0"/>
                <w:sz w:val="24"/>
                <w:lang w:bidi="ar"/>
              </w:rPr>
              <w:t>主项</w:t>
            </w: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宋体" w:eastAsia="黑体" w:cs="黑体"/>
                <w:color w:val="000000"/>
                <w:kern w:val="0"/>
                <w:sz w:val="24"/>
                <w:lang w:bidi="ar"/>
              </w:rPr>
              <w:t>办理项</w:t>
            </w:r>
          </w:p>
        </w:tc>
        <w:tc>
          <w:tcPr>
            <w:tcW w:w="1190" w:type="dxa"/>
            <w:vMerge w:val="continue"/>
            <w:tcBorders>
              <w:left w:val="single" w:color="000000" w:sz="4" w:space="0"/>
              <w:bottom w:val="single" w:color="000000" w:sz="4" w:space="0"/>
              <w:right w:val="single" w:color="000000" w:sz="4" w:space="0"/>
            </w:tcBorders>
            <w:shd w:val="clear" w:color="auto" w:fill="FFFFFF"/>
            <w:vAlign w:val="center"/>
          </w:tcPr>
          <w:p>
            <w:pPr>
              <w:widowControl/>
              <w:jc w:val="left"/>
              <w:rPr>
                <w:rFonts w:ascii="仿宋_GB2312" w:hAnsi="宋体" w:eastAsia="仿宋_GB2312" w:cs="仿宋_GB2312"/>
                <w:color w:val="000000"/>
                <w:kern w:val="0"/>
                <w:sz w:val="24"/>
                <w:szCs w:val="24"/>
                <w:lang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黑体" w:hAnsi="宋体" w:eastAsia="黑体" w:cs="黑体"/>
                <w:color w:val="000000"/>
                <w:kern w:val="0"/>
                <w:sz w:val="24"/>
                <w:lang w:bidi="ar"/>
              </w:rPr>
              <w:t>直接</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取消</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审批</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黑体" w:hAnsi="宋体" w:eastAsia="黑体" w:cs="黑体"/>
                <w:color w:val="000000"/>
                <w:kern w:val="0"/>
                <w:sz w:val="24"/>
                <w:lang w:bidi="ar"/>
              </w:rPr>
              <w:t>审批</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改为</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备案</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黑体" w:hAnsi="宋体" w:eastAsia="黑体" w:cs="黑体"/>
                <w:color w:val="000000"/>
                <w:kern w:val="0"/>
                <w:sz w:val="24"/>
                <w:lang w:bidi="ar"/>
              </w:rPr>
              <w:t>实行</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告知</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承诺</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宋体" w:eastAsia="黑体" w:cs="黑体"/>
                <w:color w:val="000000"/>
                <w:kern w:val="0"/>
                <w:sz w:val="24"/>
                <w:lang w:bidi="ar"/>
              </w:rPr>
              <w:t>优化</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审批</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服务</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kern w:val="0"/>
                <w:sz w:val="24"/>
                <w:szCs w:val="24"/>
                <w:lang w:bidi="ar"/>
              </w:rPr>
            </w:pPr>
          </w:p>
        </w:tc>
        <w:tc>
          <w:tcPr>
            <w:tcW w:w="38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kern w:val="0"/>
                <w:sz w:val="24"/>
                <w:szCs w:val="24"/>
                <w:lang w:bidi="ar"/>
              </w:rPr>
            </w:pPr>
          </w:p>
        </w:tc>
      </w:tr>
      <w:tr>
        <w:tblPrEx>
          <w:tblLayout w:type="fixed"/>
          <w:tblCellMar>
            <w:top w:w="0" w:type="dxa"/>
            <w:left w:w="0" w:type="dxa"/>
            <w:bottom w:w="0" w:type="dxa"/>
            <w:right w:w="0" w:type="dxa"/>
          </w:tblCellMar>
        </w:tblPrEx>
        <w:trPr>
          <w:trHeight w:val="982"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29</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中资商业银行金融机构及其分支机构设立、变更、终止以及业务范围审批</w:t>
            </w: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中资商业银行公开募集股份和上市交易股份</w:t>
            </w:r>
          </w:p>
        </w:tc>
        <w:tc>
          <w:tcPr>
            <w:tcW w:w="1190" w:type="dxa"/>
            <w:vMerge w:val="restart"/>
            <w:tcBorders>
              <w:top w:val="single" w:color="000000" w:sz="4" w:space="0"/>
              <w:left w:val="single" w:color="000000" w:sz="4" w:space="0"/>
              <w:right w:val="single" w:color="000000" w:sz="4" w:space="0"/>
            </w:tcBorders>
            <w:shd w:val="clear" w:color="auto" w:fill="FFFFFF"/>
            <w:tcMar>
              <w:left w:w="57" w:type="dxa"/>
              <w:right w:w="57" w:type="dxa"/>
            </w:tcMar>
            <w:vAlign w:val="center"/>
          </w:tcPr>
          <w:p>
            <w:pPr>
              <w:widowControl/>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北京银保监局</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jc w:val="left"/>
              <w:rPr>
                <w:rFonts w:ascii="仿宋_GB2312" w:hAnsi="宋体" w:eastAsia="仿宋_GB2312" w:cs="仿宋_GB2312"/>
                <w:color w:val="000000"/>
                <w:sz w:val="24"/>
                <w:szCs w:val="24"/>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jc w:val="left"/>
              <w:rPr>
                <w:rFonts w:ascii="仿宋_GB2312" w:hAnsi="宋体" w:eastAsia="仿宋_GB2312" w:cs="仿宋_GB2312"/>
                <w:color w:val="000000"/>
                <w:sz w:val="24"/>
                <w:szCs w:val="24"/>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jc w:val="left"/>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w:t>
            </w:r>
          </w:p>
        </w:tc>
        <w:tc>
          <w:tcPr>
            <w:tcW w:w="1335" w:type="dxa"/>
            <w:vMerge w:val="restart"/>
            <w:tcBorders>
              <w:top w:val="nil"/>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仅在自贸区内实施</w:t>
            </w:r>
          </w:p>
        </w:tc>
        <w:tc>
          <w:tcPr>
            <w:tcW w:w="388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银行在自贸区内设立、变更、终止分行级以下（不含分行）分支机构的，无需报经北京银保监局事先审批，实行报告制，其中变更情形包括迁址、更名、升格。</w:t>
            </w:r>
          </w:p>
        </w:tc>
      </w:tr>
      <w:tr>
        <w:tblPrEx>
          <w:tblLayout w:type="fixed"/>
          <w:tblCellMar>
            <w:top w:w="0" w:type="dxa"/>
            <w:left w:w="0" w:type="dxa"/>
            <w:bottom w:w="0" w:type="dxa"/>
            <w:right w:w="0" w:type="dxa"/>
          </w:tblCellMar>
        </w:tblPrEx>
        <w:trPr>
          <w:trHeight w:val="1251"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30</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szCs w:val="24"/>
              </w:rPr>
            </w:pP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中资商业银行变更资本总额或股份总额5%以上股东</w:t>
            </w:r>
          </w:p>
        </w:tc>
        <w:tc>
          <w:tcPr>
            <w:tcW w:w="1190" w:type="dxa"/>
            <w:vMerge w:val="continue"/>
            <w:tcBorders>
              <w:left w:val="single" w:color="000000" w:sz="4" w:space="0"/>
              <w:right w:val="single" w:color="000000" w:sz="4" w:space="0"/>
            </w:tcBorders>
            <w:shd w:val="clear" w:color="auto" w:fill="FFFFFF"/>
            <w:vAlign w:val="center"/>
          </w:tcPr>
          <w:p>
            <w:pPr>
              <w:widowControl/>
              <w:jc w:val="left"/>
              <w:rPr>
                <w:rFonts w:ascii="仿宋_GB2312" w:hAnsi="宋体" w:eastAsia="仿宋_GB2312" w:cs="仿宋_GB2312"/>
                <w:color w:val="000000"/>
                <w:sz w:val="24"/>
                <w:szCs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szCs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szCs w:val="24"/>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w:t>
            </w:r>
          </w:p>
        </w:tc>
        <w:tc>
          <w:tcPr>
            <w:tcW w:w="133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38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r>
      <w:tr>
        <w:tblPrEx>
          <w:tblLayout w:type="fixed"/>
          <w:tblCellMar>
            <w:top w:w="0" w:type="dxa"/>
            <w:left w:w="0" w:type="dxa"/>
            <w:bottom w:w="0" w:type="dxa"/>
            <w:right w:w="0" w:type="dxa"/>
          </w:tblCellMar>
        </w:tblPrEx>
        <w:trPr>
          <w:trHeight w:val="125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31</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szCs w:val="24"/>
              </w:rPr>
            </w:pP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中资商业银行募集发行债务和资本补充工具审批</w:t>
            </w:r>
          </w:p>
        </w:tc>
        <w:tc>
          <w:tcPr>
            <w:tcW w:w="1190" w:type="dxa"/>
            <w:vMerge w:val="continue"/>
            <w:tcBorders>
              <w:left w:val="single" w:color="000000" w:sz="4" w:space="0"/>
              <w:right w:val="single" w:color="000000" w:sz="4" w:space="0"/>
            </w:tcBorders>
            <w:shd w:val="clear" w:color="auto" w:fill="FFFFFF"/>
            <w:vAlign w:val="center"/>
          </w:tcPr>
          <w:p>
            <w:pPr>
              <w:widowControl/>
              <w:jc w:val="left"/>
              <w:rPr>
                <w:rFonts w:ascii="仿宋_GB2312" w:hAnsi="宋体" w:eastAsia="仿宋_GB2312" w:cs="仿宋_GB2312"/>
                <w:color w:val="000000"/>
                <w:sz w:val="24"/>
                <w:szCs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szCs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szCs w:val="24"/>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w:t>
            </w:r>
          </w:p>
        </w:tc>
        <w:tc>
          <w:tcPr>
            <w:tcW w:w="133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38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r>
      <w:tr>
        <w:tblPrEx>
          <w:tblLayout w:type="fixed"/>
          <w:tblCellMar>
            <w:top w:w="0" w:type="dxa"/>
            <w:left w:w="0" w:type="dxa"/>
            <w:bottom w:w="0" w:type="dxa"/>
            <w:right w:w="0" w:type="dxa"/>
          </w:tblCellMar>
        </w:tblPrEx>
        <w:trPr>
          <w:trHeight w:val="962"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32</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szCs w:val="24"/>
              </w:rPr>
            </w:pP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中资商业银行修改公司章程</w:t>
            </w:r>
          </w:p>
        </w:tc>
        <w:tc>
          <w:tcPr>
            <w:tcW w:w="1190" w:type="dxa"/>
            <w:vMerge w:val="continue"/>
            <w:tcBorders>
              <w:left w:val="single" w:color="000000" w:sz="4" w:space="0"/>
              <w:right w:val="single" w:color="000000" w:sz="4" w:space="0"/>
            </w:tcBorders>
            <w:shd w:val="clear" w:color="auto" w:fill="FFFFFF"/>
            <w:vAlign w:val="center"/>
          </w:tcPr>
          <w:p>
            <w:pPr>
              <w:widowControl/>
              <w:jc w:val="left"/>
              <w:rPr>
                <w:rFonts w:ascii="仿宋_GB2312" w:hAnsi="宋体" w:eastAsia="仿宋_GB2312" w:cs="仿宋_GB2312"/>
                <w:color w:val="000000"/>
                <w:sz w:val="24"/>
                <w:szCs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szCs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szCs w:val="24"/>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w:t>
            </w:r>
          </w:p>
        </w:tc>
        <w:tc>
          <w:tcPr>
            <w:tcW w:w="133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38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r>
      <w:tr>
        <w:tblPrEx>
          <w:tblLayout w:type="fixed"/>
          <w:tblCellMar>
            <w:top w:w="0" w:type="dxa"/>
            <w:left w:w="0" w:type="dxa"/>
            <w:bottom w:w="0" w:type="dxa"/>
            <w:right w:w="0" w:type="dxa"/>
          </w:tblCellMar>
        </w:tblPrEx>
        <w:trPr>
          <w:trHeight w:val="973"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33</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szCs w:val="24"/>
              </w:rPr>
            </w:pP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中资商业银行分支机构设立</w:t>
            </w:r>
          </w:p>
        </w:tc>
        <w:tc>
          <w:tcPr>
            <w:tcW w:w="1190" w:type="dxa"/>
            <w:vMerge w:val="continue"/>
            <w:tcBorders>
              <w:left w:val="single" w:color="000000" w:sz="4" w:space="0"/>
              <w:right w:val="single" w:color="000000" w:sz="4" w:space="0"/>
            </w:tcBorders>
            <w:shd w:val="clear" w:color="auto" w:fill="FFFFFF"/>
            <w:vAlign w:val="center"/>
          </w:tcPr>
          <w:p>
            <w:pPr>
              <w:widowControl/>
              <w:jc w:val="left"/>
              <w:rPr>
                <w:rFonts w:ascii="仿宋_GB2312" w:hAnsi="宋体" w:eastAsia="仿宋_GB2312" w:cs="仿宋_GB2312"/>
                <w:color w:val="000000"/>
                <w:sz w:val="24"/>
                <w:szCs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szCs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szCs w:val="24"/>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w:t>
            </w:r>
          </w:p>
        </w:tc>
        <w:tc>
          <w:tcPr>
            <w:tcW w:w="133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38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r>
      <w:tr>
        <w:tblPrEx>
          <w:tblLayout w:type="fixed"/>
          <w:tblCellMar>
            <w:top w:w="0" w:type="dxa"/>
            <w:left w:w="0" w:type="dxa"/>
            <w:bottom w:w="0" w:type="dxa"/>
            <w:right w:w="0" w:type="dxa"/>
          </w:tblCellMar>
        </w:tblPrEx>
        <w:trPr>
          <w:trHeight w:val="1288"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34</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szCs w:val="24"/>
              </w:rPr>
            </w:pP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中资商业银行法人机构开业</w:t>
            </w:r>
          </w:p>
        </w:tc>
        <w:tc>
          <w:tcPr>
            <w:tcW w:w="1190" w:type="dxa"/>
            <w:vMerge w:val="continue"/>
            <w:tcBorders>
              <w:left w:val="single" w:color="000000" w:sz="4" w:space="0"/>
              <w:bottom w:val="single" w:color="000000" w:sz="4" w:space="0"/>
              <w:right w:val="single" w:color="000000" w:sz="4" w:space="0"/>
            </w:tcBorders>
            <w:shd w:val="clear" w:color="auto" w:fill="FFFFFF"/>
            <w:vAlign w:val="center"/>
          </w:tcPr>
          <w:p>
            <w:pPr>
              <w:widowControl/>
              <w:jc w:val="left"/>
              <w:rPr>
                <w:rFonts w:ascii="仿宋_GB2312" w:hAnsi="宋体" w:eastAsia="仿宋_GB2312" w:cs="仿宋_GB2312"/>
                <w:color w:val="000000"/>
                <w:sz w:val="24"/>
                <w:szCs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szCs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szCs w:val="24"/>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w:t>
            </w:r>
          </w:p>
        </w:tc>
        <w:tc>
          <w:tcPr>
            <w:tcW w:w="133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38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r>
      <w:tr>
        <w:tblPrEx>
          <w:tblLayout w:type="fixed"/>
          <w:tblCellMar>
            <w:top w:w="0" w:type="dxa"/>
            <w:left w:w="0" w:type="dxa"/>
            <w:bottom w:w="0" w:type="dxa"/>
            <w:right w:w="0" w:type="dxa"/>
          </w:tblCellMar>
        </w:tblPrEx>
        <w:trPr>
          <w:trHeight w:val="510" w:hRule="exact"/>
          <w:jc w:val="center"/>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序号</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事项名称</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实施部门</w:t>
            </w: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黑体" w:eastAsia="黑体" w:cs="黑体"/>
                <w:color w:val="000000"/>
                <w:sz w:val="24"/>
              </w:rPr>
              <w:t>改革方式</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实施范围</w:t>
            </w:r>
          </w:p>
        </w:tc>
        <w:tc>
          <w:tcPr>
            <w:tcW w:w="388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黑体" w:eastAsia="黑体" w:cs="黑体"/>
                <w:color w:val="000000"/>
                <w:kern w:val="0"/>
                <w:sz w:val="24"/>
                <w:lang w:bidi="ar"/>
              </w:rPr>
              <w:t>具体改革举措</w:t>
            </w:r>
          </w:p>
        </w:tc>
      </w:tr>
      <w:tr>
        <w:tblPrEx>
          <w:tblLayout w:type="fixed"/>
          <w:tblCellMar>
            <w:top w:w="0" w:type="dxa"/>
            <w:left w:w="0" w:type="dxa"/>
            <w:bottom w:w="0" w:type="dxa"/>
            <w:right w:w="0" w:type="dxa"/>
          </w:tblCellMar>
        </w:tblPrEx>
        <w:trPr>
          <w:trHeight w:val="1134"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kern w:val="0"/>
                <w:sz w:val="24"/>
                <w:szCs w:val="24"/>
                <w:lang w:bidi="ar"/>
              </w:rPr>
            </w:pPr>
          </w:p>
        </w:tc>
        <w:tc>
          <w:tcPr>
            <w:tcW w:w="11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宋体" w:eastAsia="黑体" w:cs="黑体"/>
                <w:color w:val="000000"/>
                <w:kern w:val="0"/>
                <w:sz w:val="24"/>
                <w:lang w:bidi="ar"/>
              </w:rPr>
              <w:t>主项</w:t>
            </w: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宋体" w:eastAsia="黑体" w:cs="黑体"/>
                <w:color w:val="000000"/>
                <w:kern w:val="0"/>
                <w:sz w:val="24"/>
                <w:lang w:bidi="ar"/>
              </w:rPr>
              <w:t>办理项</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kern w:val="0"/>
                <w:sz w:val="24"/>
                <w:szCs w:val="24"/>
                <w:lang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黑体" w:hAnsi="宋体" w:eastAsia="黑体" w:cs="黑体"/>
                <w:color w:val="000000"/>
                <w:kern w:val="0"/>
                <w:sz w:val="24"/>
                <w:lang w:bidi="ar"/>
              </w:rPr>
              <w:t>直接</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取消</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审批</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黑体" w:hAnsi="宋体" w:eastAsia="黑体" w:cs="黑体"/>
                <w:color w:val="000000"/>
                <w:kern w:val="0"/>
                <w:sz w:val="24"/>
                <w:lang w:bidi="ar"/>
              </w:rPr>
              <w:t>审批</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改为</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备案</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黑体" w:hAnsi="宋体" w:eastAsia="黑体" w:cs="黑体"/>
                <w:color w:val="000000"/>
                <w:kern w:val="0"/>
                <w:sz w:val="24"/>
                <w:lang w:bidi="ar"/>
              </w:rPr>
              <w:t>实行</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告知</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承诺</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黑体" w:hAnsi="宋体" w:eastAsia="黑体" w:cs="黑体"/>
                <w:color w:val="000000"/>
                <w:kern w:val="0"/>
                <w:sz w:val="24"/>
                <w:lang w:bidi="ar"/>
              </w:rPr>
              <w:t>优化</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审批</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服务</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kern w:val="0"/>
                <w:sz w:val="24"/>
                <w:szCs w:val="24"/>
                <w:lang w:bidi="ar"/>
              </w:rPr>
            </w:pPr>
          </w:p>
        </w:tc>
        <w:tc>
          <w:tcPr>
            <w:tcW w:w="38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kern w:val="0"/>
                <w:sz w:val="24"/>
                <w:szCs w:val="24"/>
                <w:lang w:bidi="ar"/>
              </w:rPr>
            </w:pPr>
          </w:p>
        </w:tc>
      </w:tr>
      <w:tr>
        <w:tblPrEx>
          <w:tblLayout w:type="fixed"/>
          <w:tblCellMar>
            <w:top w:w="0" w:type="dxa"/>
            <w:left w:w="0" w:type="dxa"/>
            <w:bottom w:w="0" w:type="dxa"/>
            <w:right w:w="0" w:type="dxa"/>
          </w:tblCellMar>
        </w:tblPrEx>
        <w:trPr>
          <w:trHeight w:val="104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35</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非银行金融机构（分支机构）设立、变更、终止以及业务范围审批</w:t>
            </w: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财务公司法人机构筹建</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北京银保监局</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jc w:val="center"/>
              <w:rPr>
                <w:rFonts w:ascii="仿宋_GB2312" w:hAnsi="宋体" w:eastAsia="仿宋_GB2312" w:cs="仿宋_GB2312"/>
                <w:color w:val="000000"/>
                <w:sz w:val="24"/>
                <w:szCs w:val="24"/>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jc w:val="center"/>
              <w:rPr>
                <w:rFonts w:ascii="仿宋_GB2312" w:hAnsi="宋体" w:eastAsia="仿宋_GB2312" w:cs="仿宋_GB2312"/>
                <w:color w:val="000000"/>
                <w:sz w:val="24"/>
                <w:szCs w:val="24"/>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jc w:val="center"/>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仅在自贸区内实施</w:t>
            </w:r>
          </w:p>
        </w:tc>
        <w:tc>
          <w:tcPr>
            <w:tcW w:w="3884"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57" w:type="dxa"/>
              <w:bottom w:w="0" w:type="dxa"/>
              <w:right w:w="57"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1.跨国公司已在本市设立投资性公司的，可依法依规在自贸区内设立财务公司，跨国公司未在本市设立投资性公司的，可通过先设立投资型公司，再依法依规在自贸区内设立财务公司。</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2.优先支持符合条件的外资投资性公司依法合规在北京自贸区设立财务公司，提高辅导效率，加快审批进度。</w:t>
            </w:r>
          </w:p>
        </w:tc>
      </w:tr>
      <w:tr>
        <w:tblPrEx>
          <w:tblLayout w:type="fixed"/>
          <w:tblCellMar>
            <w:top w:w="0" w:type="dxa"/>
            <w:left w:w="0" w:type="dxa"/>
            <w:bottom w:w="0" w:type="dxa"/>
            <w:right w:w="0" w:type="dxa"/>
          </w:tblCellMar>
        </w:tblPrEx>
        <w:trPr>
          <w:trHeight w:val="144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36</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仿宋_GB2312"/>
                <w:color w:val="000000"/>
                <w:sz w:val="24"/>
                <w:szCs w:val="24"/>
              </w:rPr>
            </w:pPr>
          </w:p>
        </w:tc>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财务公司法人机构开业</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szCs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szCs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szCs w:val="24"/>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仿宋_GB2312"/>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lang w:bidi="ar"/>
              </w:rPr>
              <w:t>√</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38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r>
    </w:tbl>
    <w:p>
      <w:pPr>
        <w:widowControl/>
        <w:spacing w:beforeAutospacing="1" w:afterAutospacing="1"/>
        <w:jc w:val="left"/>
        <w:rPr>
          <w:rFonts w:ascii="黑体" w:hAnsi="黑体" w:eastAsia="黑体" w:cs="黑体"/>
          <w:sz w:val="32"/>
          <w:szCs w:val="32"/>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1587" w:right="2098" w:bottom="1474" w:left="1984" w:header="851" w:footer="992" w:gutter="0"/>
          <w:cols w:space="720" w:num="1"/>
          <w:titlePg/>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lang w:val="en-US" w:eastAsia="zh-CN"/>
      </w:rPr>
      <mc:AlternateContent>
        <mc:Choice Requires="wps">
          <w:drawing>
            <wp:anchor distT="0" distB="0" distL="114300" distR="114300" simplePos="0" relativeHeight="251660288" behindDoc="0" locked="0" layoutInCell="1" allowOverlap="1">
              <wp:simplePos x="0" y="0"/>
              <wp:positionH relativeFrom="column">
                <wp:posOffset>-688340</wp:posOffset>
              </wp:positionH>
              <wp:positionV relativeFrom="paragraph">
                <wp:posOffset>-1050290</wp:posOffset>
              </wp:positionV>
              <wp:extent cx="609600" cy="9271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09600" cy="927100"/>
                      </a:xfrm>
                      <a:prstGeom prst="rect">
                        <a:avLst/>
                      </a:prstGeom>
                      <a:noFill/>
                      <a:ln>
                        <a:noFill/>
                      </a:ln>
                    </wps:spPr>
                    <wps:txbx>
                      <w:txbxContent>
                        <w:p>
                          <w:pPr>
                            <w:numPr>
                              <w:ilvl w:val="0"/>
                              <w:numId w:val="2"/>
                            </w:numP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 xml:space="preserve"> —</w:t>
                          </w:r>
                        </w:p>
                      </w:txbxContent>
                    </wps:txbx>
                    <wps:bodyPr vert="eaVert" upright="1"/>
                  </wps:wsp>
                </a:graphicData>
              </a:graphic>
            </wp:anchor>
          </w:drawing>
        </mc:Choice>
        <mc:Fallback>
          <w:pict>
            <v:shape id="_x0000_s1026" o:spid="_x0000_s1026" o:spt="202" type="#_x0000_t202" style="position:absolute;left:0pt;margin-left:-54.2pt;margin-top:-82.7pt;height:73pt;width:48pt;z-index:251660288;mso-width-relative:page;mso-height-relative:page;" filled="f" stroked="f" coordsize="21600,21600" o:gfxdata="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6V1qqdsAAAANAQAADwAAAAAAAAABACAAAAAi&#10;AAAAZHJzL2Rvd25yZXYueG1sUEsBAhQAFAAAAAgAh07iQET9anWVAQAADQMAAA4AAAAAAAAAAQAg&#10;AAAAKgEAAGRycy9lMm9Eb2MueG1sUEsFBgAAAAAGAAYAWQEAADEFAAAAAA==&#10;">
              <v:fill on="f" focussize="0,0"/>
              <v:stroke on="f"/>
              <v:imagedata o:title=""/>
              <o:lock v:ext="edit" aspectratio="f"/>
              <v:textbox style="layout-flow:vertical-ideographic;">
                <w:txbxContent>
                  <w:p>
                    <w:pPr>
                      <w:numPr>
                        <w:ilvl w:val="0"/>
                        <w:numId w:val="2"/>
                      </w:numP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-675640</wp:posOffset>
              </wp:positionH>
              <wp:positionV relativeFrom="paragraph">
                <wp:posOffset>691515</wp:posOffset>
              </wp:positionV>
              <wp:extent cx="571500" cy="10160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1500" cy="1016000"/>
                      </a:xfrm>
                      <a:prstGeom prst="rect">
                        <a:avLst/>
                      </a:prstGeom>
                      <a:noFill/>
                      <a:ln>
                        <a:noFill/>
                      </a:ln>
                    </wps:spPr>
                    <wps:txbx>
                      <w:txbxContent>
                        <w:p>
                          <w:pPr>
                            <w:numPr>
                              <w:ilvl w:val="0"/>
                              <w:numId w:val="1"/>
                            </w:numP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 xml:space="preserve"> —  </w:t>
                          </w:r>
                        </w:p>
                      </w:txbxContent>
                    </wps:txbx>
                    <wps:bodyPr vert="eaVert" upright="1"/>
                  </wps:wsp>
                </a:graphicData>
              </a:graphic>
            </wp:anchor>
          </w:drawing>
        </mc:Choice>
        <mc:Fallback>
          <w:pict>
            <v:shape id="_x0000_s1026" o:spid="_x0000_s1026" o:spt="202" type="#_x0000_t202" style="position:absolute;left:0pt;margin-left:-53.2pt;margin-top:54.45pt;height:80pt;width:45pt;z-index:251659264;mso-width-relative:page;mso-height-relative:page;" filled="f" stroked="f" coordsize="21600,21600" o:gfxdata="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n5B0PaAAAADAEAAA8AAAAAAAAAAQAgAAAAIgAA&#10;AGRycy9kb3ducmV2LnhtbFBLAQIUABQAAAAIAIdO4kCKBmu8lAEAAA4DAAAOAAAAAAAAAAEAIAAA&#10;ACkBAABkcnMvZTJvRG9jLnhtbFBLBQYAAAAABgAGAFkBAAAvBQAAAAA=&#10;">
              <v:fill on="f" focussize="0,0"/>
              <v:stroke on="f"/>
              <v:imagedata o:title=""/>
              <o:lock v:ext="edit" aspectratio="f"/>
              <v:textbox style="layout-flow:vertical-ideographic;">
                <w:txbxContent>
                  <w:p>
                    <w:pPr>
                      <w:numPr>
                        <w:ilvl w:val="0"/>
                        <w:numId w:val="1"/>
                      </w:numP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 xml:space="preserve"> —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rPr>
        <w:lang w:val="en-US" w:eastAsia="zh-CN"/>
      </w:rPr>
      <mc:AlternateContent>
        <mc:Choice Requires="wps">
          <w:drawing>
            <wp:anchor distT="0" distB="0" distL="114300" distR="114300" simplePos="0" relativeHeight="251658240" behindDoc="0" locked="0" layoutInCell="1" allowOverlap="1">
              <wp:simplePos x="0" y="0"/>
              <wp:positionH relativeFrom="column">
                <wp:posOffset>-612140</wp:posOffset>
              </wp:positionH>
              <wp:positionV relativeFrom="paragraph">
                <wp:posOffset>513715</wp:posOffset>
              </wp:positionV>
              <wp:extent cx="558800" cy="1066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8800" cy="1066800"/>
                      </a:xfrm>
                      <a:prstGeom prst="rect">
                        <a:avLst/>
                      </a:prstGeom>
                      <a:noFill/>
                      <a:ln>
                        <a:noFill/>
                      </a:ln>
                    </wps:spPr>
                    <wps:txbx>
                      <w:txbxContent>
                        <w:p>
                          <w:pPr>
                            <w:ind w:firstLine="140" w:firstLineChars="5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 xml:space="preserve"> —</w:t>
                          </w:r>
                        </w:p>
                      </w:txbxContent>
                    </wps:txbx>
                    <wps:bodyPr vert="eaVert" upright="1"/>
                  </wps:wsp>
                </a:graphicData>
              </a:graphic>
            </wp:anchor>
          </w:drawing>
        </mc:Choice>
        <mc:Fallback>
          <w:pict>
            <v:shape id="_x0000_s1026" o:spid="_x0000_s1026" o:spt="202" type="#_x0000_t202" style="position:absolute;left:0pt;margin-left:-48.2pt;margin-top:40.45pt;height:84pt;width:44pt;z-index:251658240;mso-width-relative:page;mso-height-relative:page;" filled="f" stroked="f" coordsize="21600,21600" o:gfxdata="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LuC+4baAAAACQEAAA8AAAAAAAAAAQAgAAAAIgAA&#10;AGRycy9kb3ducmV2LnhtbFBLAQIUABQAAAAIAIdO4kAqU+RblAEAAA4DAAAOAAAAAAAAAAEAIAAA&#10;ACkBAABkcnMvZTJvRG9jLnhtbFBLBQYAAAAABgAGAFkBAAAvBQAAAAA=&#10;">
              <v:fill on="f" focussize="0,0"/>
              <v:stroke on="f"/>
              <v:imagedata o:title=""/>
              <o:lock v:ext="edit" aspectratio="f"/>
              <v:textbox style="layout-flow:vertical-ideographic;">
                <w:txbxContent>
                  <w:p>
                    <w:pPr>
                      <w:ind w:firstLine="140" w:firstLineChars="5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84319"/>
    <w:multiLevelType w:val="multilevel"/>
    <w:tmpl w:val="45884319"/>
    <w:lvl w:ilvl="0" w:tentative="0">
      <w:start w:val="9"/>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94557C2"/>
    <w:multiLevelType w:val="multilevel"/>
    <w:tmpl w:val="694557C2"/>
    <w:lvl w:ilvl="0" w:tentative="0">
      <w:start w:val="8"/>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DD55A4"/>
    <w:rsid w:val="574B3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无间隔1"/>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2021-04-30T01:59:27Z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