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83C07">
      <w:pPr>
        <w:spacing w:line="560" w:lineRule="exact"/>
        <w:outlineLvl w:val="0"/>
        <w:rPr>
          <w:rFonts w:hint="eastAsia" w:ascii="Times New Roman" w:hAnsi="Times New Roman" w:eastAsia="黑体" w:cs="黑体"/>
          <w:color w:val="000000" w:themeColor="text1"/>
          <w:sz w:val="32"/>
          <w:szCs w:val="32"/>
          <w:highlight w:val="none"/>
          <w14:textFill>
            <w14:solidFill>
              <w14:schemeClr w14:val="tx1"/>
            </w14:solidFill>
          </w14:textFill>
        </w:rPr>
      </w:pPr>
      <w:bookmarkStart w:id="0" w:name="OLE_LINK2"/>
      <w:r>
        <w:rPr>
          <w:rFonts w:hint="eastAsia" w:ascii="Times New Roman" w:hAnsi="Times New Roman" w:eastAsia="黑体" w:cs="黑体"/>
          <w:color w:val="000000" w:themeColor="text1"/>
          <w:sz w:val="32"/>
          <w:szCs w:val="32"/>
          <w:highlight w:val="none"/>
          <w14:textFill>
            <w14:solidFill>
              <w14:schemeClr w14:val="tx1"/>
            </w14:solidFill>
          </w14:textFill>
        </w:rPr>
        <w:t>附件1</w:t>
      </w:r>
    </w:p>
    <w:p w14:paraId="734B092E">
      <w:pPr>
        <w:autoSpaceDE w:val="0"/>
        <w:adjustRightInd w:val="0"/>
        <w:snapToGrid w:val="0"/>
        <w:spacing w:line="560" w:lineRule="exact"/>
        <w:jc w:val="center"/>
        <w:rPr>
          <w:rFonts w:hint="eastAsia" w:ascii="Times New Roman" w:hAnsi="Times New Roman" w:eastAsia="黑体" w:cs="黑体"/>
          <w:color w:val="000000" w:themeColor="text1"/>
          <w:sz w:val="32"/>
          <w:szCs w:val="32"/>
          <w:highlight w:val="none"/>
          <w14:textFill>
            <w14:solidFill>
              <w14:schemeClr w14:val="tx1"/>
            </w14:solidFill>
          </w14:textFill>
        </w:rPr>
      </w:pPr>
      <w:r>
        <w:rPr>
          <w:rFonts w:hint="eastAsia" w:ascii="Times New Roman" w:hAnsi="Times New Roman" w:eastAsia="方正小标宋简体" w:cs="方正小标宋简体"/>
          <w:spacing w:val="-6"/>
          <w:sz w:val="44"/>
          <w:szCs w:val="44"/>
          <w:lang w:val="en-US" w:eastAsia="zh-CN"/>
        </w:rPr>
        <w:t>北京市智慧城市场景创新需求</w:t>
      </w:r>
      <w:bookmarkEnd w:id="0"/>
      <w:r>
        <w:rPr>
          <w:rFonts w:hint="eastAsia" w:ascii="Times New Roman" w:hAnsi="Times New Roman" w:eastAsia="方正小标宋简体" w:cs="方正小标宋简体"/>
          <w:color w:val="000000" w:themeColor="text1"/>
          <w:sz w:val="44"/>
          <w:szCs w:val="44"/>
          <w:highlight w:val="none"/>
          <w14:textFill>
            <w14:solidFill>
              <w14:schemeClr w14:val="tx1"/>
            </w14:solidFill>
          </w14:textFill>
        </w:rPr>
        <w:t>及联系方式</w:t>
      </w:r>
    </w:p>
    <w:tbl>
      <w:tblPr>
        <w:tblStyle w:val="14"/>
        <w:tblW w:w="5140" w:type="pct"/>
        <w:tblInd w:w="-423" w:type="dxa"/>
        <w:tblLayout w:type="fixed"/>
        <w:tblCellMar>
          <w:top w:w="0" w:type="dxa"/>
          <w:left w:w="108" w:type="dxa"/>
          <w:bottom w:w="0" w:type="dxa"/>
          <w:right w:w="108" w:type="dxa"/>
        </w:tblCellMar>
      </w:tblPr>
      <w:tblGrid>
        <w:gridCol w:w="476"/>
        <w:gridCol w:w="729"/>
        <w:gridCol w:w="937"/>
        <w:gridCol w:w="2917"/>
        <w:gridCol w:w="4844"/>
        <w:gridCol w:w="3495"/>
        <w:gridCol w:w="1174"/>
      </w:tblGrid>
      <w:tr w14:paraId="4D637762">
        <w:tblPrEx>
          <w:tblCellMar>
            <w:top w:w="0" w:type="dxa"/>
            <w:left w:w="108" w:type="dxa"/>
            <w:bottom w:w="0" w:type="dxa"/>
            <w:right w:w="108" w:type="dxa"/>
          </w:tblCellMar>
        </w:tblPrEx>
        <w:trPr>
          <w:trHeight w:val="98" w:hRule="atLeast"/>
          <w:tblHeader/>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5C2B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序号</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107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bCs/>
                <w:color w:val="auto"/>
                <w:kern w:val="0"/>
                <w:sz w:val="22"/>
                <w:szCs w:val="22"/>
                <w:lang w:bidi="ar"/>
              </w:rPr>
            </w:pPr>
            <w:r>
              <w:rPr>
                <w:rFonts w:hint="eastAsia" w:ascii="仿宋_GB2312" w:hAnsi="仿宋_GB2312" w:eastAsia="仿宋_GB2312" w:cs="仿宋_GB2312"/>
                <w:b/>
                <w:bCs/>
                <w:color w:val="auto"/>
                <w:kern w:val="0"/>
                <w:sz w:val="22"/>
                <w:szCs w:val="22"/>
                <w:lang w:bidi="ar"/>
              </w:rPr>
              <w:t>场景</w:t>
            </w:r>
          </w:p>
          <w:p w14:paraId="35FA3B3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名称</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E51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default" w:ascii="仿宋_GB2312" w:hAnsi="仿宋_GB2312" w:eastAsia="仿宋_GB2312" w:cs="仿宋_GB2312"/>
                <w:b/>
                <w:bCs/>
                <w:color w:val="auto"/>
                <w:sz w:val="22"/>
                <w:szCs w:val="22"/>
                <w:lang w:val="en-US" w:eastAsia="zh-CN"/>
              </w:rPr>
            </w:pPr>
            <w:r>
              <w:rPr>
                <w:rFonts w:hint="eastAsia" w:ascii="仿宋_GB2312" w:hAnsi="仿宋_GB2312" w:eastAsia="仿宋_GB2312" w:cs="仿宋_GB2312"/>
                <w:b/>
                <w:bCs/>
                <w:color w:val="auto"/>
                <w:kern w:val="0"/>
                <w:sz w:val="22"/>
                <w:szCs w:val="22"/>
                <w:lang w:val="en-US" w:eastAsia="zh-CN" w:bidi="ar"/>
              </w:rPr>
              <w:t>场景开放单位</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2388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场景描述</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9CB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场景现状</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8C4B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sz w:val="22"/>
                <w:szCs w:val="22"/>
              </w:rPr>
            </w:pPr>
            <w:r>
              <w:rPr>
                <w:rFonts w:hint="eastAsia" w:ascii="仿宋_GB2312" w:hAnsi="仿宋_GB2312" w:eastAsia="仿宋_GB2312" w:cs="仿宋_GB2312"/>
                <w:b/>
                <w:bCs/>
                <w:color w:val="auto"/>
                <w:kern w:val="0"/>
                <w:sz w:val="22"/>
                <w:szCs w:val="22"/>
                <w:lang w:bidi="ar"/>
              </w:rPr>
              <w:t>场景创新点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9436A">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firstLine="0" w:firstLineChars="0"/>
              <w:jc w:val="center"/>
              <w:textAlignment w:val="center"/>
              <w:rPr>
                <w:rFonts w:hint="eastAsia" w:ascii="仿宋_GB2312" w:hAnsi="仿宋_GB2312" w:eastAsia="仿宋_GB2312" w:cs="仿宋_GB2312"/>
                <w:b/>
                <w:bCs/>
                <w:color w:val="auto"/>
                <w:kern w:val="0"/>
                <w:sz w:val="22"/>
                <w:szCs w:val="22"/>
                <w:lang w:val="en-US" w:eastAsia="zh-CN" w:bidi="ar"/>
              </w:rPr>
            </w:pPr>
            <w:r>
              <w:rPr>
                <w:rFonts w:hint="eastAsia" w:ascii="仿宋_GB2312" w:hAnsi="仿宋_GB2312" w:eastAsia="仿宋_GB2312" w:cs="仿宋_GB2312"/>
                <w:b/>
                <w:bCs/>
                <w:color w:val="auto"/>
                <w:kern w:val="0"/>
                <w:sz w:val="22"/>
                <w:szCs w:val="22"/>
                <w:lang w:val="en-US" w:eastAsia="zh-CN" w:bidi="ar"/>
              </w:rPr>
              <w:t>联系人及联系方式</w:t>
            </w:r>
          </w:p>
        </w:tc>
      </w:tr>
      <w:tr w14:paraId="0D4E0B1F">
        <w:tblPrEx>
          <w:tblCellMar>
            <w:top w:w="0" w:type="dxa"/>
            <w:left w:w="108" w:type="dxa"/>
            <w:bottom w:w="0" w:type="dxa"/>
            <w:right w:w="108" w:type="dxa"/>
          </w:tblCellMar>
        </w:tblPrEx>
        <w:trPr>
          <w:trHeight w:val="6500"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09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45E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仿宋_GB2312" w:eastAsia="仿宋_GB2312" w:cs="仿宋_GB2312"/>
                <w:i w:val="0"/>
                <w:iCs w:val="0"/>
                <w:color w:val="0F1115"/>
                <w:kern w:val="0"/>
                <w:sz w:val="24"/>
                <w:szCs w:val="18"/>
                <w:lang w:bidi="ar"/>
              </w:rPr>
              <w:t>医疗器械产品规范命名与审评辅助大模型场景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846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仿宋_GB2312" w:eastAsia="仿宋_GB2312" w:cs="仿宋_GB2312"/>
                <w:i w:val="0"/>
                <w:iCs w:val="0"/>
                <w:color w:val="0F1115"/>
                <w:kern w:val="0"/>
                <w:sz w:val="24"/>
                <w:szCs w:val="18"/>
                <w:lang w:bidi="ar"/>
              </w:rPr>
              <w:t>北京市药品监督管理局</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0C4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sz w:val="24"/>
                <w:szCs w:val="18"/>
              </w:rPr>
              <w:t>围绕医疗器械产品命名规范管理、企业合规申报和辅助审核需求，全面整合相关法规与标准文件、历史注册证名称、分类及审评规则等数据源，依托通用大模型底座和专属知识库，构建医疗器械产品命名大模型，实现命名规则统一归集、智能辅助规范命名和合规性辅助审核，规范企业申报行为，降低行业合规成本，探索智能审评体系建设实践路径。</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8E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b/>
                <w:bCs/>
                <w:i w:val="0"/>
                <w:iCs w:val="0"/>
                <w:sz w:val="24"/>
                <w:szCs w:val="18"/>
              </w:rPr>
            </w:pPr>
            <w:r>
              <w:rPr>
                <w:rFonts w:hint="eastAsia" w:ascii="仿宋_GB2312" w:hAnsi="仿宋_GB2312" w:eastAsia="仿宋_GB2312" w:cs="仿宋_GB2312"/>
                <w:b/>
                <w:bCs/>
                <w:i w:val="0"/>
                <w:iCs w:val="0"/>
                <w:sz w:val="24"/>
                <w:szCs w:val="18"/>
              </w:rPr>
              <w:t>一．背景情况</w:t>
            </w:r>
          </w:p>
          <w:p w14:paraId="12438A9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sz w:val="24"/>
                <w:szCs w:val="18"/>
              </w:rPr>
            </w:pPr>
            <w:r>
              <w:rPr>
                <w:rFonts w:hint="eastAsia" w:ascii="仿宋_GB2312" w:hAnsi="仿宋_GB2312" w:eastAsia="仿宋_GB2312" w:cs="仿宋_GB2312"/>
                <w:i w:val="0"/>
                <w:iCs w:val="0"/>
                <w:sz w:val="24"/>
                <w:szCs w:val="18"/>
              </w:rPr>
              <w:t>当前医疗器械产品命名是产品准入、分类界定、注册申报及后续监管的核心统领要素。当前，命名规则复杂，企业容易因命名不规范，导致注册及临床等资料反复修改、注册周期拉长，注册成本增加等问题，亟需提升源头申报质量、统一审评尺度，建设智慧审评体系建设。</w:t>
            </w:r>
          </w:p>
          <w:p w14:paraId="3213FD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b/>
                <w:bCs/>
                <w:i w:val="0"/>
                <w:iCs w:val="0"/>
                <w:sz w:val="24"/>
                <w:szCs w:val="18"/>
              </w:rPr>
            </w:pPr>
            <w:r>
              <w:rPr>
                <w:rFonts w:hint="eastAsia" w:ascii="仿宋_GB2312" w:hAnsi="仿宋_GB2312" w:eastAsia="仿宋_GB2312" w:cs="仿宋_GB2312"/>
                <w:b/>
                <w:bCs/>
                <w:i w:val="0"/>
                <w:iCs w:val="0"/>
                <w:sz w:val="24"/>
                <w:szCs w:val="18"/>
              </w:rPr>
              <w:t>二、拟解决的问题</w:t>
            </w:r>
          </w:p>
          <w:p w14:paraId="28B5D3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sz w:val="24"/>
                <w:szCs w:val="18"/>
                <w:lang w:eastAsia="zh-CN"/>
              </w:rPr>
            </w:pPr>
            <w:r>
              <w:rPr>
                <w:rFonts w:hint="eastAsia" w:ascii="仿宋_GB2312" w:hAnsi="仿宋_GB2312" w:eastAsia="仿宋_GB2312" w:cs="仿宋_GB2312"/>
                <w:i w:val="0"/>
                <w:iCs w:val="0"/>
                <w:sz w:val="24"/>
                <w:szCs w:val="18"/>
              </w:rPr>
              <w:t>1.解决医疗器械产品命名相关法规、标准、指导原则和历史注册信息分散，规则查询、结构化管理和智能检索支撑不足的问题</w:t>
            </w:r>
            <w:r>
              <w:rPr>
                <w:rFonts w:hint="eastAsia" w:ascii="仿宋_GB2312" w:hAnsi="仿宋_GB2312" w:eastAsia="仿宋_GB2312" w:cs="仿宋_GB2312"/>
                <w:i w:val="0"/>
                <w:iCs w:val="0"/>
                <w:sz w:val="24"/>
                <w:szCs w:val="18"/>
                <w:lang w:eastAsia="zh-CN"/>
              </w:rPr>
              <w:t>。</w:t>
            </w:r>
          </w:p>
          <w:p w14:paraId="20C59B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sz w:val="24"/>
                <w:szCs w:val="18"/>
                <w:lang w:eastAsia="zh-CN"/>
              </w:rPr>
            </w:pPr>
            <w:r>
              <w:rPr>
                <w:rFonts w:hint="eastAsia" w:ascii="仿宋_GB2312" w:hAnsi="仿宋_GB2312" w:eastAsia="仿宋_GB2312" w:cs="仿宋_GB2312"/>
                <w:i w:val="0"/>
                <w:iCs w:val="0"/>
                <w:sz w:val="24"/>
                <w:szCs w:val="18"/>
              </w:rPr>
              <w:t>2.解决企业在产品立项和注册申报前缺少辅助命名、相似名称参考和合规风险提示，导致命名不规范的问题</w:t>
            </w:r>
            <w:r>
              <w:rPr>
                <w:rFonts w:hint="eastAsia" w:ascii="仿宋_GB2312" w:hAnsi="仿宋_GB2312" w:eastAsia="仿宋_GB2312" w:cs="仿宋_GB2312"/>
                <w:i w:val="0"/>
                <w:iCs w:val="0"/>
                <w:sz w:val="24"/>
                <w:szCs w:val="18"/>
                <w:lang w:eastAsia="zh-CN"/>
              </w:rPr>
              <w:t>。</w:t>
            </w:r>
          </w:p>
          <w:p w14:paraId="309355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DejaVu Sans" w:hAnsi="宋体" w:eastAsia="仿宋_GB2312" w:cs="DejaVu Sans"/>
                <w:i w:val="0"/>
                <w:iCs w:val="0"/>
                <w:color w:val="auto"/>
                <w:kern w:val="2"/>
                <w:sz w:val="24"/>
                <w:szCs w:val="28"/>
                <w:highlight w:val="none"/>
                <w:u w:val="none"/>
                <w:lang w:val="en-US" w:eastAsia="zh-CN" w:bidi="ar"/>
              </w:rPr>
            </w:pPr>
            <w:r>
              <w:rPr>
                <w:rFonts w:hint="eastAsia" w:ascii="仿宋_GB2312" w:hAnsi="仿宋_GB2312" w:eastAsia="仿宋_GB2312" w:cs="仿宋_GB2312"/>
                <w:i w:val="0"/>
                <w:iCs w:val="0"/>
                <w:sz w:val="24"/>
                <w:szCs w:val="18"/>
              </w:rPr>
              <w:t>3.解决合规研判主要依赖人工查阅，审核效率不高的问题。</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74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sz w:val="24"/>
                <w:szCs w:val="18"/>
              </w:rPr>
            </w:pPr>
            <w:r>
              <w:rPr>
                <w:rFonts w:hint="eastAsia" w:ascii="仿宋_GB2312" w:hAnsi="仿宋_GB2312" w:eastAsia="仿宋_GB2312" w:cs="仿宋_GB2312"/>
                <w:b/>
                <w:bCs/>
                <w:i w:val="0"/>
                <w:iCs w:val="0"/>
                <w:sz w:val="24"/>
                <w:szCs w:val="18"/>
              </w:rPr>
              <w:t>1.首创医疗器械命名专用大模型。</w:t>
            </w:r>
            <w:r>
              <w:rPr>
                <w:rFonts w:hint="eastAsia" w:ascii="仿宋_GB2312" w:hAnsi="仿宋_GB2312" w:eastAsia="仿宋_GB2312" w:cs="仿宋_GB2312"/>
                <w:i w:val="0"/>
                <w:iCs w:val="0"/>
                <w:sz w:val="24"/>
                <w:szCs w:val="18"/>
              </w:rPr>
              <w:t>采用通用大模型底座+外挂专属知识库的轻量化技术路线，打造国内首个医疗器械产品命名专用大模型，并与品类划分评审模型形成互补，为智慧审评体系建设提供全新的模块化、组件化建设思路。</w:t>
            </w:r>
          </w:p>
          <w:p w14:paraId="411781B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b/>
                <w:bCs/>
                <w:i w:val="0"/>
                <w:iCs w:val="0"/>
                <w:sz w:val="24"/>
                <w:szCs w:val="18"/>
              </w:rPr>
              <w:t>2.构建医疗器械命名规则数据集。</w:t>
            </w:r>
            <w:r>
              <w:rPr>
                <w:rFonts w:hint="eastAsia" w:ascii="仿宋_GB2312" w:hAnsi="仿宋_GB2312" w:eastAsia="仿宋_GB2312" w:cs="仿宋_GB2312"/>
                <w:i w:val="0"/>
                <w:iCs w:val="0"/>
                <w:sz w:val="24"/>
                <w:szCs w:val="18"/>
              </w:rPr>
              <w:t>将各级医疗器械产品命名法规、指导原则与历史注册证名称进行系统性归集，形成标准化命名规则数据集，为模型持续迭代优化提供数据支撑。</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ADB0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仿宋_GB2312" w:eastAsia="仿宋_GB2312" w:cs="仿宋_GB2312"/>
                <w:i w:val="0"/>
                <w:iCs w:val="0"/>
                <w:sz w:val="24"/>
                <w:szCs w:val="18"/>
                <w:lang w:val="en-US" w:eastAsia="zh-CN"/>
              </w:rPr>
            </w:pPr>
            <w:r>
              <w:rPr>
                <w:rFonts w:hint="eastAsia" w:ascii="仿宋_GB2312" w:hAnsi="仿宋_GB2312" w:eastAsia="仿宋_GB2312" w:cs="仿宋_GB2312"/>
                <w:i w:val="0"/>
                <w:iCs w:val="0"/>
                <w:sz w:val="24"/>
                <w:szCs w:val="18"/>
              </w:rPr>
              <w:t>桑</w:t>
            </w:r>
            <w:r>
              <w:rPr>
                <w:rFonts w:hint="eastAsia" w:ascii="仿宋_GB2312" w:hAnsi="仿宋_GB2312" w:eastAsia="仿宋_GB2312" w:cs="仿宋_GB2312"/>
                <w:i w:val="0"/>
                <w:iCs w:val="0"/>
                <w:sz w:val="24"/>
                <w:szCs w:val="18"/>
                <w:lang w:val="en-US" w:eastAsia="zh-CN"/>
              </w:rPr>
              <w:t>老师</w:t>
            </w:r>
          </w:p>
          <w:p w14:paraId="01C42F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仿宋_GB2312" w:eastAsia="仿宋_GB2312" w:cs="仿宋_GB2312"/>
                <w:i w:val="0"/>
                <w:iCs w:val="0"/>
                <w:sz w:val="24"/>
                <w:szCs w:val="18"/>
              </w:rPr>
            </w:pPr>
            <w:r>
              <w:rPr>
                <w:rFonts w:hint="eastAsia" w:ascii="仿宋_GB2312" w:hAnsi="仿宋_GB2312" w:eastAsia="仿宋_GB2312" w:cs="仿宋_GB2312"/>
                <w:i w:val="0"/>
                <w:iCs w:val="0"/>
                <w:sz w:val="24"/>
                <w:szCs w:val="18"/>
              </w:rPr>
              <w:t>18010288850</w:t>
            </w:r>
          </w:p>
          <w:p w14:paraId="2E34492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kern w:val="2"/>
                <w:sz w:val="24"/>
                <w:szCs w:val="18"/>
                <w:lang w:val="en-US" w:eastAsia="zh-CN" w:bidi="ar-SA"/>
              </w:rPr>
            </w:pPr>
            <w:r>
              <w:rPr>
                <w:rFonts w:hint="eastAsia" w:ascii="仿宋_GB2312" w:hAnsi="仿宋_GB2312" w:eastAsia="仿宋_GB2312" w:cs="仿宋_GB2312"/>
                <w:i w:val="0"/>
                <w:iCs w:val="0"/>
                <w:sz w:val="24"/>
                <w:szCs w:val="18"/>
              </w:rPr>
              <w:t>sanglingyue@yjj.beijing.gov.cn</w:t>
            </w:r>
          </w:p>
        </w:tc>
      </w:tr>
      <w:tr w14:paraId="757DFD01">
        <w:tblPrEx>
          <w:tblCellMar>
            <w:top w:w="0" w:type="dxa"/>
            <w:left w:w="108" w:type="dxa"/>
            <w:bottom w:w="0" w:type="dxa"/>
            <w:right w:w="108" w:type="dxa"/>
          </w:tblCellMar>
        </w:tblPrEx>
        <w:trPr>
          <w:trHeight w:val="7789"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582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734A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医疗敏感病历数据安全联合科研应用场景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D5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北京数字认证股份有限公司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3866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sz w:val="24"/>
                <w:szCs w:val="18"/>
                <w:highlight w:val="none"/>
              </w:rPr>
              <w:t>针对跨院病历联合科研需求，采用旁路部署、数据库透明加密、隐私计算、动态脱敏、全链路审计技术，融合多院诊疗隐私数据。原始数据不出院域，以“可用不可见”模式完成联合建模病理研究，无需改造医院存量系统，对内自动分级管控敏感数据、全程审计溯源，对外依托隐私计算交互模型参数，一站式实现医疗隐私数据安全共享与合规科研利用。</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D223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医疗临床数据是疾病研究核心资源，单院样本不足以支撑高精度科研，跨院协同需求迫切。但医疗数据受法规严格保护，传统集中共享泄露风险高；传统加密方案需改造老旧异构系统，改造成本、风险双高。行业面临科研需求、数据合规、系统改造三重矛盾，急需搭建数据本地留存、安全协同的数据治理体系。</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1.传统加密需改造底层代码，医院异构系统改造周期长、成本高。</w:t>
            </w:r>
          </w:p>
          <w:p w14:paraId="4300696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i w:val="0"/>
                <w:iCs w:val="0"/>
                <w:color w:val="auto"/>
                <w:kern w:val="2"/>
                <w:sz w:val="24"/>
                <w:szCs w:val="18"/>
                <w:lang w:val="en-US" w:eastAsia="zh-CN" w:bidi="ar"/>
              </w:rPr>
              <w:t>2.</w:t>
            </w:r>
            <w:r>
              <w:rPr>
                <w:rStyle w:val="31"/>
                <w:rFonts w:hint="eastAsia" w:hAnsi="宋体" w:eastAsia="仿宋_GB2312"/>
                <w:i w:val="0"/>
                <w:iCs w:val="0"/>
                <w:color w:val="auto"/>
                <w:sz w:val="24"/>
                <w:highlight w:val="none"/>
                <w:lang w:val="en-US" w:eastAsia="zh-CN" w:bidi="ar"/>
              </w:rPr>
              <w:t>安全工具零散，缺少统一合规管控手段。</w:t>
            </w:r>
          </w:p>
          <w:p w14:paraId="3B4517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i w:val="0"/>
                <w:iCs w:val="0"/>
                <w:color w:val="auto"/>
                <w:kern w:val="2"/>
                <w:sz w:val="24"/>
                <w:szCs w:val="18"/>
                <w:lang w:val="en-US" w:eastAsia="zh-CN" w:bidi="ar"/>
              </w:rPr>
              <w:t>3.</w:t>
            </w:r>
            <w:r>
              <w:rPr>
                <w:rStyle w:val="31"/>
                <w:rFonts w:hint="eastAsia" w:hAnsi="宋体" w:eastAsia="仿宋_GB2312"/>
                <w:i w:val="0"/>
                <w:iCs w:val="0"/>
                <w:color w:val="auto"/>
                <w:sz w:val="24"/>
                <w:highlight w:val="none"/>
                <w:lang w:val="en-US" w:eastAsia="zh-CN" w:bidi="ar"/>
              </w:rPr>
              <w:t>数据库明文存储数据，内部人员可直接访问，泄露风险高。</w:t>
            </w:r>
          </w:p>
          <w:p w14:paraId="0737F3B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rPr>
                <w:rFonts w:hint="eastAsia" w:ascii="仿宋_GB2312" w:hAnsi="宋体" w:eastAsia="仿宋_GB2312" w:cs="仿宋_GB2312"/>
                <w:i w:val="0"/>
                <w:iCs w:val="0"/>
                <w:color w:val="auto"/>
                <w:kern w:val="2"/>
                <w:sz w:val="24"/>
                <w:szCs w:val="28"/>
                <w:highlight w:val="none"/>
                <w:u w:val="none"/>
                <w:lang w:val="en-US" w:eastAsia="zh-CN" w:bidi="ar"/>
              </w:rPr>
            </w:pPr>
            <w:r>
              <w:rPr>
                <w:rFonts w:hint="eastAsia" w:ascii="仿宋_GB2312" w:hAnsi="宋体" w:eastAsia="仿宋_GB2312" w:cs="仿宋_GB2312"/>
                <w:i w:val="0"/>
                <w:iCs w:val="0"/>
                <w:color w:val="auto"/>
                <w:kern w:val="2"/>
                <w:sz w:val="24"/>
                <w:szCs w:val="18"/>
                <w:lang w:val="en-US" w:eastAsia="zh-CN" w:bidi="ar"/>
              </w:rPr>
              <w:t>4.</w:t>
            </w:r>
            <w:r>
              <w:rPr>
                <w:rStyle w:val="31"/>
                <w:rFonts w:hint="eastAsia" w:hAnsi="宋体" w:eastAsia="仿宋_GB2312"/>
                <w:i w:val="0"/>
                <w:iCs w:val="0"/>
                <w:color w:val="auto"/>
                <w:sz w:val="24"/>
                <w:highlight w:val="none"/>
                <w:lang w:val="en-US" w:eastAsia="zh-CN" w:bidi="ar"/>
              </w:rPr>
              <w:t>数据分级依靠人工，加密策略分散无统一标准。</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716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仿宋_GB2312" w:eastAsia="仿宋_GB2312" w:cs="仿宋_GB2312"/>
                <w:i w:val="0"/>
                <w:iCs w:val="0"/>
                <w:color w:val="auto"/>
                <w:sz w:val="24"/>
                <w:szCs w:val="18"/>
                <w:highlight w:val="none"/>
              </w:rPr>
            </w:pPr>
            <w:r>
              <w:rPr>
                <w:rFonts w:hint="eastAsia" w:ascii="仿宋_GB2312" w:hAnsi="仿宋_GB2312" w:eastAsia="仿宋_GB2312" w:cs="仿宋_GB2312"/>
                <w:i w:val="0"/>
                <w:iCs w:val="0"/>
                <w:color w:val="auto"/>
                <w:sz w:val="24"/>
                <w:szCs w:val="18"/>
                <w:highlight w:val="none"/>
              </w:rPr>
              <w:t>1.旁路无感透明加密适配全量异构医院系统，零业务代码改造规避升级风险；打通隐私计算与数据库审计能力，存储、访问、跨域协同全流程可追溯，补齐医疗跨机构科研审计短板。</w:t>
            </w:r>
          </w:p>
          <w:p w14:paraId="677AEDE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sz w:val="24"/>
                <w:szCs w:val="18"/>
                <w:highlight w:val="none"/>
              </w:rPr>
            </w:pPr>
            <w:r>
              <w:rPr>
                <w:rFonts w:hint="eastAsia" w:ascii="仿宋_GB2312" w:hAnsi="仿宋_GB2312" w:eastAsia="仿宋_GB2312" w:cs="仿宋_GB2312"/>
                <w:i w:val="0"/>
                <w:iCs w:val="0"/>
                <w:color w:val="auto"/>
                <w:kern w:val="2"/>
                <w:sz w:val="24"/>
                <w:szCs w:val="18"/>
                <w:lang w:val="en-US" w:eastAsia="zh-CN" w:bidi="ar-SA"/>
              </w:rPr>
              <w:t>2.</w:t>
            </w:r>
            <w:r>
              <w:rPr>
                <w:rFonts w:hint="eastAsia" w:ascii="仿宋_GB2312" w:hAnsi="仿宋_GB2312" w:eastAsia="仿宋_GB2312" w:cs="仿宋_GB2312"/>
                <w:i w:val="0"/>
                <w:iCs w:val="0"/>
                <w:color w:val="auto"/>
                <w:sz w:val="24"/>
                <w:szCs w:val="18"/>
                <w:highlight w:val="none"/>
              </w:rPr>
              <w:t>搭建医疗专属规则库自动识别分级病历数据，替代人工甄别；支持密文直接开展科研建模，全程不暴露原始明文，兼顾数据安全防护与科研分析效率。</w:t>
            </w:r>
          </w:p>
          <w:p w14:paraId="2C8BD53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lang w:val="en-US" w:eastAsia="zh-CN" w:bidi="ar-SA"/>
              </w:rPr>
              <w:t>3.</w:t>
            </w:r>
            <w:r>
              <w:rPr>
                <w:rFonts w:hint="eastAsia" w:ascii="仿宋_GB2312" w:hAnsi="仿宋_GB2312" w:eastAsia="仿宋_GB2312" w:cs="仿宋_GB2312"/>
                <w:i w:val="0"/>
                <w:iCs w:val="0"/>
                <w:color w:val="auto"/>
                <w:sz w:val="24"/>
                <w:szCs w:val="18"/>
                <w:highlight w:val="none"/>
              </w:rPr>
              <w:t>摒弃集中汇聚式数据共享，构建数据本地留存、算力跨域协同、监管全程可视的新模式，实现医院自主管控、多方协同科研、监管统一审计三方安全闭环。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C9B9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default"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陈老师</w:t>
            </w:r>
          </w:p>
          <w:p w14:paraId="5F89AA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13370111856</w:t>
            </w:r>
          </w:p>
        </w:tc>
      </w:tr>
      <w:tr w14:paraId="49EE1804">
        <w:tblPrEx>
          <w:tblCellMar>
            <w:top w:w="0" w:type="dxa"/>
            <w:left w:w="108" w:type="dxa"/>
            <w:bottom w:w="0" w:type="dxa"/>
            <w:right w:w="108" w:type="dxa"/>
          </w:tblCellMar>
        </w:tblPrEx>
        <w:trPr>
          <w:trHeight w:val="7951"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4B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C171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企业多业务系统数据中台汇聚治理场景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D232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首都信息发展股份有限公司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1BC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围绕企业ERP、CRM、财务等多业务系统数据汇聚需求，融合结构化、半结构化、非结构化全域数据，依托自动采集、AI质检、敏感数据分级、可视化监控技术，实现一键接入数据源、智能校验数据质量、自动识别敏感信息、全流程可视化告警。一站式完成数据入湖入仓、合规治理，降低人工成本，保障企业数据中台稳定高效运行。</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DDF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企业各业务系统独立运行，数据孤岛突出，数据类型繁杂。企业需归集全域数据支撑经营决策，但现有数据治理全流程依赖人工，采集、质检、分级、监控效率低下、失误率高，无法满足数据中台常态化、规模化运维需求，亟需搭建自动化、轻量化全域数据治理能力底座。</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1.多源数据采集全靠人工配置任务，重复工作量大。</w:t>
            </w:r>
          </w:p>
          <w:p w14:paraId="312A982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Style w:val="31"/>
                <w:rFonts w:hint="eastAsia" w:hAnsi="宋体" w:eastAsia="仿宋_GB2312"/>
                <w:i w:val="0"/>
                <w:iCs w:val="0"/>
                <w:color w:val="auto"/>
                <w:sz w:val="24"/>
                <w:highlight w:val="none"/>
                <w:lang w:val="en-US" w:eastAsia="zh-CN" w:bidi="ar"/>
              </w:rPr>
              <w:t>2.数据异常、缺失需人工编写校验规则，治理周期长。</w:t>
            </w:r>
          </w:p>
          <w:p w14:paraId="097DE72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Style w:val="31"/>
                <w:rFonts w:hint="eastAsia" w:hAnsi="宋体" w:eastAsia="仿宋_GB2312"/>
                <w:i w:val="0"/>
                <w:iCs w:val="0"/>
                <w:color w:val="auto"/>
                <w:sz w:val="24"/>
                <w:highlight w:val="none"/>
                <w:lang w:val="en-US" w:eastAsia="zh-CN" w:bidi="ar"/>
              </w:rPr>
              <w:t>3.敏感数据人工标注，漏标误标带来安全隐患。</w:t>
            </w:r>
          </w:p>
          <w:p w14:paraId="6C95731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Style w:val="31"/>
                <w:rFonts w:hint="eastAsia" w:hAnsi="宋体" w:eastAsia="仿宋_GB2312"/>
                <w:i w:val="0"/>
                <w:iCs w:val="0"/>
                <w:color w:val="auto"/>
                <w:sz w:val="24"/>
                <w:highlight w:val="none"/>
                <w:lang w:val="en-US" w:eastAsia="zh-CN" w:bidi="ar"/>
              </w:rPr>
              <w:t>4.无可视化监控大屏，治理进度、数据质量、异常问题无法直观管控，运维缺少抓手。</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72C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1.研发一键接入引擎兼容全类型异构企业数据；大模型柔性质检摆脱固定规则局限，自适应识别各类数据缺陷；轻量化旁路算法无需改造业务系统即可扫描敏感数据。</w:t>
            </w:r>
          </w:p>
          <w:p w14:paraId="6AFEF43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2.统一企业全域数据字段标准，破除数据格式壁垒；形成采集、质检、分级、告警自动化闭环；全链路日志留存，每条数据流转、整改、分级记录均可回溯。</w:t>
            </w:r>
          </w:p>
          <w:p w14:paraId="35E8F0E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496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马老师</w:t>
            </w:r>
          </w:p>
          <w:p w14:paraId="1D964B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13810275466</w:t>
            </w:r>
          </w:p>
        </w:tc>
      </w:tr>
      <w:tr w14:paraId="4B69DF6B">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9F2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660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多源数据共创价值归因与收益分润场景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07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北京国际大数据交易所有限责任公司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44F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针对多方联合开发数据产品、数据流通增值需求，依托价值建模、全链路溯源、多维度量化评估、智能分润核算技术，追踪数据从接入、加工到产品输出完整轨迹，综合六大指标测算各方数据贡献度，自动核算分配收益。清晰划分合作权责，构建可审计、公允透明、标准化落地的数据协同共创与收益结算体系。</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451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数据要素市场化流通提速，多数数据产品由多方数据融合加工而成。但行业缺少标准化价值评估与分润规则，普遍存在数据贡献无法量化、价值难以溯源、收益分配主观化等问题，合作纠纷频发，严重阻碍跨机构数据协同与数据产品规模化商业化落地。</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1.多方数据价值、贡献度无法精准量化，价值归因难度大。</w:t>
            </w:r>
          </w:p>
          <w:p w14:paraId="1C8AD1B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i w:val="0"/>
                <w:iCs w:val="0"/>
                <w:color w:val="auto"/>
                <w:kern w:val="2"/>
                <w:sz w:val="24"/>
                <w:szCs w:val="18"/>
                <w:lang w:val="en-US" w:eastAsia="zh-CN" w:bidi="ar"/>
              </w:rPr>
              <w:t>2.</w:t>
            </w:r>
            <w:r>
              <w:rPr>
                <w:rStyle w:val="31"/>
                <w:rFonts w:hint="eastAsia" w:hAnsi="宋体" w:eastAsia="仿宋_GB2312"/>
                <w:i w:val="0"/>
                <w:iCs w:val="0"/>
                <w:color w:val="auto"/>
                <w:sz w:val="24"/>
                <w:highlight w:val="none"/>
                <w:lang w:val="en-US" w:eastAsia="zh-CN" w:bidi="ar"/>
              </w:rPr>
              <w:t>数据加工权责、使用边界模糊，合作纠纷隐患突出。</w:t>
            </w:r>
          </w:p>
          <w:p w14:paraId="26F698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i w:val="0"/>
                <w:iCs w:val="0"/>
                <w:color w:val="auto"/>
                <w:kern w:val="2"/>
                <w:sz w:val="24"/>
                <w:szCs w:val="18"/>
                <w:lang w:val="en-US" w:eastAsia="zh-CN" w:bidi="ar"/>
              </w:rPr>
              <w:t>3.</w:t>
            </w:r>
            <w:r>
              <w:rPr>
                <w:rStyle w:val="31"/>
                <w:rFonts w:hint="eastAsia" w:hAnsi="宋体" w:eastAsia="仿宋_GB2312"/>
                <w:i w:val="0"/>
                <w:iCs w:val="0"/>
                <w:color w:val="auto"/>
                <w:sz w:val="24"/>
                <w:highlight w:val="none"/>
                <w:lang w:val="en-US" w:eastAsia="zh-CN" w:bidi="ar"/>
              </w:rPr>
              <w:t>缺少客观核算依据，收益分配公允度不足。</w:t>
            </w:r>
          </w:p>
          <w:p w14:paraId="2A76250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lang w:val="en-US" w:eastAsia="zh-CN" w:bidi="ar-SA"/>
              </w:rPr>
              <w:t>4.</w:t>
            </w:r>
            <w:r>
              <w:rPr>
                <w:rStyle w:val="31"/>
                <w:rFonts w:hint="eastAsia" w:hAnsi="宋体" w:eastAsia="仿宋_GB2312"/>
                <w:i w:val="0"/>
                <w:iCs w:val="0"/>
                <w:color w:val="auto"/>
                <w:sz w:val="24"/>
                <w:highlight w:val="none"/>
                <w:lang w:val="en-US" w:eastAsia="zh-CN" w:bidi="ar"/>
              </w:rPr>
              <w:t>数据确权、定价、分润无统一规范，跨机构协同管控体系不完善。</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0EF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1.六维融合评估模型兼顾数据静态属性与动态场景增益；细粒度链路溯源精准定位单条数据作用，评估结果可审计可解释；自适应分润算法按需调整权重适配各类数据产品。</w:t>
            </w:r>
          </w:p>
          <w:p w14:paraId="35FDD48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宋体" w:eastAsia="仿宋_GB2312" w:cs="仿宋_GB2312"/>
                <w:i w:val="0"/>
                <w:iCs w:val="0"/>
                <w:color w:val="auto"/>
                <w:kern w:val="0"/>
                <w:sz w:val="24"/>
                <w:szCs w:val="18"/>
                <w:highlight w:val="none"/>
                <w:u w:val="none"/>
                <w:lang w:val="en-US" w:eastAsia="zh-CN" w:bidi="ar"/>
              </w:rPr>
              <w:t>2.补齐流通领域价值无量化、无溯源短板，实现数据全生命周期价值追踪；统一跨机构价值评估口径；打通价值测算到收益自动结算全链路。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6AB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赵老师</w:t>
            </w:r>
          </w:p>
          <w:p w14:paraId="48ADFEE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18810616052</w:t>
            </w:r>
          </w:p>
        </w:tc>
      </w:tr>
      <w:tr w14:paraId="2D5AC26F">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E3A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DFC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多主体跨行业可信数据空间构建场景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62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北京数据先行区服务有限公司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EE9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面向跨行业多主体数据流通与场内交易，依托动态流程编排、分布式协同、区块链存证、动态工序调度技术，接入全行业异构主体数据。支持自定义数据加工工序与执行顺序，实现分布式并行加工、流程统一管控、可信确权存证、交易标准化管理，一站式解决长链路协同、权责不清、流转不可信问题，支撑全域数据安全融合与商业化交易。</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33A8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跨行业数据流通参与主体持续增多，数据加工链路变长、工序灵活多变。现有平台仅适配少量参与方、固定加工流程，缺少长链路动态管控能力，多方协作权责模糊、流程不可控、流转缺乏可信背书，制约跨行业可信数据共享与合规交易规模化落地。</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1.海量参与方协同下工序繁杂、流程不可灵活调整。</w:t>
            </w:r>
          </w:p>
          <w:p w14:paraId="333208C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i w:val="0"/>
                <w:iCs w:val="0"/>
                <w:color w:val="auto"/>
                <w:kern w:val="2"/>
                <w:sz w:val="24"/>
                <w:szCs w:val="18"/>
                <w:lang w:val="en-US" w:eastAsia="zh-CN" w:bidi="ar"/>
              </w:rPr>
              <w:t>2.</w:t>
            </w:r>
            <w:r>
              <w:rPr>
                <w:rStyle w:val="31"/>
                <w:rFonts w:hint="eastAsia" w:hAnsi="宋体" w:eastAsia="仿宋_GB2312"/>
                <w:i w:val="0"/>
                <w:iCs w:val="0"/>
                <w:color w:val="auto"/>
                <w:sz w:val="24"/>
                <w:highlight w:val="none"/>
                <w:lang w:val="en-US" w:eastAsia="zh-CN" w:bidi="ar"/>
              </w:rPr>
              <w:t>长链路分布式节点管控难度大，流程异常难感知。</w:t>
            </w:r>
          </w:p>
          <w:p w14:paraId="1E8F2B8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lang w:val="en-US" w:eastAsia="zh-CN" w:bidi="ar-SA"/>
              </w:rPr>
              <w:t>3.</w:t>
            </w:r>
            <w:r>
              <w:rPr>
                <w:rStyle w:val="31"/>
                <w:rFonts w:hint="eastAsia" w:hAnsi="宋体" w:eastAsia="仿宋_GB2312"/>
                <w:i w:val="0"/>
                <w:iCs w:val="0"/>
                <w:color w:val="auto"/>
                <w:sz w:val="24"/>
                <w:highlight w:val="none"/>
                <w:lang w:val="en-US" w:eastAsia="zh-CN" w:bidi="ar"/>
              </w:rPr>
              <w:t>多方权责边界模糊，异地协同效率低下。</w:t>
            </w:r>
          </w:p>
          <w:p w14:paraId="17325B5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lang w:val="en-US" w:eastAsia="zh-CN" w:bidi="ar-SA"/>
              </w:rPr>
              <w:t>4.</w:t>
            </w:r>
            <w:r>
              <w:rPr>
                <w:rStyle w:val="31"/>
                <w:rFonts w:hint="eastAsia" w:hAnsi="宋体" w:eastAsia="仿宋_GB2312"/>
                <w:i w:val="0"/>
                <w:iCs w:val="0"/>
                <w:color w:val="auto"/>
                <w:sz w:val="24"/>
                <w:highlight w:val="none"/>
                <w:lang w:val="en-US" w:eastAsia="zh-CN" w:bidi="ar"/>
              </w:rPr>
              <w:t>数据流转缺少可信存证确权，可信共享与合规交易缺少底层技术支撑。</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9CC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1.动态流程编排技术打破固定工序限制，支持自定义分支与时序；分布式调度架构支撑海量主体并行加工；轻量化区块链存证，兼顾性能与全流程不可篡改溯源。</w:t>
            </w:r>
          </w:p>
          <w:p w14:paraId="194496A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宋体" w:eastAsia="仿宋_GB2312" w:cs="仿宋_GB2312"/>
                <w:i w:val="0"/>
                <w:iCs w:val="0"/>
                <w:color w:val="auto"/>
                <w:kern w:val="0"/>
                <w:sz w:val="24"/>
                <w:szCs w:val="18"/>
                <w:highlight w:val="none"/>
                <w:u w:val="none"/>
                <w:lang w:val="en-US" w:eastAsia="zh-CN" w:bidi="ar"/>
              </w:rPr>
              <w:t>2.实现多模态数据接入、治理、融合、交易全生命周期可信管控；明确多方数据应用权责；多主体动态细粒度权责合约体系，适配灵活工序变更；链上凭证支撑数据确权、定价、交易，打通可信共享与场内交易链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DB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石老师</w:t>
            </w:r>
          </w:p>
          <w:p w14:paraId="5F0178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18001227090</w:t>
            </w:r>
          </w:p>
        </w:tc>
      </w:tr>
      <w:tr w14:paraId="561BAE4A">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E7A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3CBF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城市数字基础设施与城市治理智能巡检场景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04D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北京数据集团北京数字基建投资发展有限公司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9D8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围绕城市基建运维、全域治理常态化巡检，融合实拍图文视频、传感、资产台账、运维日志多模态数据，依托图像增强、多模态融合、小样本增量学习技术，搭建全域智能巡检研判平台。实现户外设施隐患精准识别、风险分级预警、多源数据联动研判，线上标准化管控巡检全流程，推动城市治理由事后整改转为事前主动预判。</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453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城市公共设施点位分散、体量庞大，传统人工巡检效率低下。常规AI识别模型难以适配雨雪、遮挡、弱光等户外复杂环境；图文、传感、台账等巡检数据相互割裂，无法联动分析；模型优化依赖人工调参，周期长、成本高，难以支撑精细化前置治理。</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1.户外复杂环境干扰导致识别漏判、误判率居高不下。</w:t>
            </w:r>
          </w:p>
          <w:p w14:paraId="611D84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i w:val="0"/>
                <w:iCs w:val="0"/>
                <w:color w:val="auto"/>
                <w:kern w:val="2"/>
                <w:sz w:val="24"/>
                <w:szCs w:val="18"/>
                <w:lang w:val="en-US" w:eastAsia="zh-CN" w:bidi="ar"/>
              </w:rPr>
              <w:t>2.</w:t>
            </w:r>
            <w:r>
              <w:rPr>
                <w:rStyle w:val="31"/>
                <w:rFonts w:hint="eastAsia" w:hAnsi="宋体" w:eastAsia="仿宋_GB2312"/>
                <w:i w:val="0"/>
                <w:iCs w:val="0"/>
                <w:color w:val="auto"/>
                <w:sz w:val="24"/>
                <w:highlight w:val="none"/>
                <w:lang w:val="en-US" w:eastAsia="zh-CN" w:bidi="ar"/>
              </w:rPr>
              <w:t>多模态巡检数据孤立存储，无法联动分析，数据价值难以释放。</w:t>
            </w:r>
          </w:p>
          <w:p w14:paraId="488D3D5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lang w:val="en-US" w:eastAsia="zh-CN" w:bidi="ar-SA"/>
              </w:rPr>
              <w:t>3.</w:t>
            </w:r>
            <w:r>
              <w:rPr>
                <w:rStyle w:val="31"/>
                <w:rFonts w:hint="eastAsia" w:hAnsi="宋体" w:eastAsia="仿宋_GB2312"/>
                <w:i w:val="0"/>
                <w:iCs w:val="0"/>
                <w:color w:val="auto"/>
                <w:sz w:val="24"/>
                <w:highlight w:val="none"/>
                <w:lang w:val="en-US" w:eastAsia="zh-CN" w:bidi="ar"/>
              </w:rPr>
              <w:t>传统视觉模型泛化能力弱，人工调参优化周期长，人力与时间成本高昂。</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6B5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1.图像前置增强算法消除雨雪、遮挡、弱光干扰，降低识别误差；时空对齐融合算法打通视觉、传感、台账数据；模型自动增量迭代，减少人工调参工作量。</w:t>
            </w:r>
          </w:p>
          <w:p w14:paraId="75D7C24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2.统一归集巡检全量数据实现关联复盘；多维数据联动研判提升隐患判定精准度；沉淀城市设施隐患样本集，反向迭代模型形成数据闭环。</w:t>
            </w:r>
          </w:p>
          <w:p w14:paraId="271386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453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刘老师</w:t>
            </w:r>
          </w:p>
          <w:p w14:paraId="78DA1BB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15710094873</w:t>
            </w:r>
          </w:p>
        </w:tc>
      </w:tr>
      <w:tr w14:paraId="700FD809">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6338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7</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E59C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医疗行业数据合规应用与智能服务场景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BEB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北京数据先行区服务有限公司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DDD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宋体" w:eastAsia="仿宋_GB2312" w:cs="仿宋_GB2312"/>
                <w:i w:val="0"/>
                <w:iCs w:val="0"/>
                <w:color w:val="auto"/>
                <w:kern w:val="0"/>
                <w:sz w:val="24"/>
                <w:szCs w:val="18"/>
                <w:highlight w:val="none"/>
                <w:u w:val="none"/>
                <w:lang w:val="en-US" w:eastAsia="zh-CN" w:bidi="ar"/>
              </w:rPr>
              <w:t>依托医疗数据标准化、结构化、匿名化、智能标注、语义检索等数据治理与加工技术，以及提示词、RAG、MCP服务、Skill等的智能体构建技术，搭建合规数据底座与AI智能体管理平台，支撑临床辅助、科研分析、医药问答、合规数据流通等场景，在严守隐私安全的基础上，提升医疗数据价值与AI落地效能。</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DAF1F">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b/>
                <w:bCs/>
                <w:i w:val="0"/>
                <w:iCs w:val="0"/>
                <w:color w:val="auto"/>
                <w:kern w:val="0"/>
                <w:sz w:val="24"/>
                <w:szCs w:val="18"/>
                <w:highlight w:val="none"/>
                <w:u w:val="none"/>
                <w:lang w:val="en-US" w:eastAsia="zh-CN" w:bidi="ar"/>
              </w:rPr>
              <w:t>背景情况</w:t>
            </w:r>
          </w:p>
          <w:p w14:paraId="17034055">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医疗行业数据资源分散杂乱，缺乏全流程标准化治理体系；医疗数据脱敏、流通共享合规门槛高，数据安全管控体系不完善；医疗AI落地门槛高，缺少专属智能体开发与运维体系；这些挑战，严重制约医疗数据价值释放与AI规模化落地。</w:t>
            </w:r>
          </w:p>
          <w:p w14:paraId="3D160344">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center"/>
              <w:rPr>
                <w:rFonts w:hint="eastAsia" w:ascii="仿宋_GB2312" w:hAnsi="宋体" w:eastAsia="仿宋_GB2312" w:cs="仿宋_GB2312"/>
                <w:b/>
                <w:bCs/>
                <w:i w:val="0"/>
                <w:iCs w:val="0"/>
                <w:color w:val="auto"/>
                <w:kern w:val="0"/>
                <w:sz w:val="24"/>
                <w:szCs w:val="18"/>
                <w:highlight w:val="none"/>
                <w:u w:val="none"/>
                <w:lang w:val="en-US" w:eastAsia="zh-CN" w:bidi="ar"/>
              </w:rPr>
            </w:pPr>
            <w:r>
              <w:rPr>
                <w:rFonts w:hint="eastAsia" w:ascii="仿宋_GB2312" w:hAnsi="宋体" w:eastAsia="仿宋_GB2312" w:cs="仿宋_GB2312"/>
                <w:b/>
                <w:bCs/>
                <w:i w:val="0"/>
                <w:iCs w:val="0"/>
                <w:color w:val="auto"/>
                <w:kern w:val="0"/>
                <w:sz w:val="24"/>
                <w:szCs w:val="18"/>
                <w:highlight w:val="none"/>
                <w:u w:val="none"/>
                <w:lang w:val="en-US" w:eastAsia="zh-CN" w:bidi="ar"/>
              </w:rPr>
              <w:t>拟解决的问题</w:t>
            </w:r>
          </w:p>
          <w:p w14:paraId="2DA354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lang w:val="en-US" w:eastAsia="zh-CN" w:bidi="ar"/>
              </w:rPr>
              <w:t>1.</w:t>
            </w:r>
            <w:r>
              <w:rPr>
                <w:rFonts w:hint="eastAsia" w:ascii="仿宋_GB2312" w:hAnsi="宋体" w:eastAsia="仿宋_GB2312" w:cs="仿宋_GB2312"/>
                <w:i w:val="0"/>
                <w:iCs w:val="0"/>
                <w:color w:val="auto"/>
                <w:kern w:val="0"/>
                <w:sz w:val="24"/>
                <w:szCs w:val="18"/>
                <w:highlight w:val="none"/>
                <w:u w:val="none"/>
                <w:lang w:val="en-US" w:eastAsia="zh-CN" w:bidi="ar"/>
              </w:rPr>
              <w:t>解决医疗数据零散无序、缺乏标准化治理，数据汇聚加工繁琐，难以规模化应用的问题。</w:t>
            </w:r>
          </w:p>
          <w:p w14:paraId="025A98A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lang w:val="en-US" w:eastAsia="zh-CN" w:bidi="ar"/>
              </w:rPr>
              <w:t>2.</w:t>
            </w:r>
            <w:r>
              <w:rPr>
                <w:rFonts w:hint="eastAsia" w:ascii="仿宋_GB2312" w:hAnsi="宋体" w:eastAsia="仿宋_GB2312" w:cs="仿宋_GB2312"/>
                <w:i w:val="0"/>
                <w:iCs w:val="0"/>
                <w:color w:val="auto"/>
                <w:kern w:val="0"/>
                <w:sz w:val="24"/>
                <w:szCs w:val="18"/>
                <w:highlight w:val="none"/>
                <w:u w:val="none"/>
                <w:lang w:val="en-US" w:eastAsia="zh-CN" w:bidi="ar"/>
              </w:rPr>
              <w:t>解决医疗数据脱敏不规范、流通共享不合规，隐私安全风险高，数据无法可信流转的问题。</w:t>
            </w:r>
          </w:p>
          <w:p w14:paraId="01F16A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宋体" w:eastAsia="仿宋_GB2312" w:cs="仿宋_GB2312"/>
                <w:i w:val="0"/>
                <w:iCs w:val="0"/>
                <w:color w:val="auto"/>
                <w:kern w:val="0"/>
                <w:sz w:val="24"/>
                <w:szCs w:val="18"/>
                <w:lang w:val="en-US" w:eastAsia="zh-CN" w:bidi="ar"/>
              </w:rPr>
              <w:t>3.</w:t>
            </w:r>
            <w:r>
              <w:rPr>
                <w:rFonts w:hint="eastAsia" w:ascii="仿宋_GB2312" w:hAnsi="宋体" w:eastAsia="仿宋_GB2312" w:cs="仿宋_GB2312"/>
                <w:i w:val="0"/>
                <w:iCs w:val="0"/>
                <w:color w:val="auto"/>
                <w:kern w:val="0"/>
                <w:sz w:val="24"/>
                <w:szCs w:val="18"/>
                <w:highlight w:val="none"/>
                <w:u w:val="none"/>
                <w:lang w:val="en-US" w:eastAsia="zh-CN" w:bidi="ar"/>
              </w:rPr>
              <w:t>解决医疗AI应用开发门槛高、无专属管控体系，智能体研发、上线、运维无闭环的问题。</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43AD0">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lang w:val="en-US" w:eastAsia="zh-CN" w:bidi="ar"/>
              </w:rPr>
              <w:t>1.</w:t>
            </w:r>
            <w:r>
              <w:rPr>
                <w:rFonts w:hint="eastAsia" w:ascii="仿宋_GB2312" w:hAnsi="宋体" w:eastAsia="仿宋_GB2312" w:cs="仿宋_GB2312"/>
                <w:i w:val="0"/>
                <w:iCs w:val="0"/>
                <w:color w:val="auto"/>
                <w:kern w:val="0"/>
                <w:sz w:val="24"/>
                <w:szCs w:val="18"/>
                <w:highlight w:val="none"/>
                <w:u w:val="none"/>
                <w:lang w:val="en-US" w:eastAsia="zh-CN" w:bidi="ar"/>
              </w:rPr>
              <w:t>搭建医疗全流程数据治理体系，依托七大核心模块实现数据自动化汇聚、标准化治理与安全脱敏，将碎片化非结构化医疗数据转化为标准化可复用的高质量数据集，并通过多层审核与多租户隔离保障数据可信流通。</w:t>
            </w:r>
          </w:p>
          <w:p w14:paraId="08CBC62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2.支持低代码智能体开发、RAG知识库搭建，实现医疗智能体全生命周期闭环管理。以合规数据底座约束智能体输出，平衡数据安全与应用效率，打通数据治理到AI应用全链路，充分释放医疗数据与智能应用价值。</w:t>
            </w:r>
          </w:p>
          <w:p w14:paraId="459075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45E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王老师</w:t>
            </w:r>
          </w:p>
          <w:p w14:paraId="0304A60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18500254131</w:t>
            </w:r>
          </w:p>
        </w:tc>
      </w:tr>
      <w:tr w14:paraId="534638E6">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A34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E0C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政务及企业数仓自然语言转SQL智能查询场景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774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首都信息发展股份有限公司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18F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面向公积金、医保、企业经营等数仓查询场景，依托大模型语义理解、库表自适应解析、SQL生成校验、查询安全风控技术，业务人员输入自然语言即可自动解析语义、匹配多表关联、生成合规只读SQL。无需技术人员编写代码，配套自动化评测、高危语句拦截机制，降低政务企业数据查询门槛，提升报表统计效率。</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94B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政务、企业数仓表结构复杂、多表关联繁多，业务人员无SQL编写能力，查数需技术人员配合，沟通成本高、响应慢。现有Text2SQL模型适配复杂数仓能力不足，查询准确率低，缺少自动化评测与安全管控，难以满足政务系统稳定、可审计、高安全上线要求。</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1.数仓表字段语义晦涩，多表关联场景SQL生成精准度低。</w:t>
            </w:r>
          </w:p>
          <w:p w14:paraId="0C0B413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i w:val="0"/>
                <w:iCs w:val="0"/>
                <w:color w:val="auto"/>
                <w:kern w:val="2"/>
                <w:sz w:val="24"/>
                <w:szCs w:val="18"/>
                <w:lang w:val="en-US" w:eastAsia="zh-CN" w:bidi="ar"/>
              </w:rPr>
              <w:t>2.</w:t>
            </w:r>
            <w:r>
              <w:rPr>
                <w:rStyle w:val="31"/>
                <w:rFonts w:hint="eastAsia" w:hAnsi="宋体" w:eastAsia="仿宋_GB2312"/>
                <w:i w:val="0"/>
                <w:iCs w:val="0"/>
                <w:color w:val="auto"/>
                <w:sz w:val="24"/>
                <w:highlight w:val="none"/>
                <w:lang w:val="en-US" w:eastAsia="zh-CN" w:bidi="ar"/>
              </w:rPr>
              <w:t>批量查询语句依靠人工核验，评测工作量巨大。</w:t>
            </w:r>
          </w:p>
          <w:p w14:paraId="702CDA3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lang w:val="en-US" w:eastAsia="zh-CN" w:bidi="ar-SA"/>
              </w:rPr>
              <w:t>3.</w:t>
            </w:r>
            <w:r>
              <w:rPr>
                <w:rStyle w:val="31"/>
                <w:rFonts w:hint="eastAsia" w:hAnsi="宋体" w:eastAsia="仿宋_GB2312"/>
                <w:i w:val="0"/>
                <w:iCs w:val="0"/>
                <w:color w:val="auto"/>
                <w:sz w:val="24"/>
                <w:highlight w:val="none"/>
                <w:lang w:val="en-US" w:eastAsia="zh-CN" w:bidi="ar"/>
              </w:rPr>
              <w:t>原生SQL存在删改、越权等高风险，语法报错频发，系统工程化可用性差。</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1D2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1.构建政务专属库表语义知识库，打通业务术语与底层字段映射；分层自动化评测体系覆盖语义、语法、结果多维度；前置拦截并自动修复高危、错误SQL语句。</w:t>
            </w:r>
          </w:p>
          <w:p w14:paraId="6957526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2.屏蔽底层复杂技术细节，实现业务人员零代码自助查数；沉淀政务专属查询样本持续优化模型；全流程日志留存，满足政务查询行为审计溯源要求。</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C10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陈老师</w:t>
            </w:r>
          </w:p>
          <w:p w14:paraId="4D4526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18500557125</w:t>
            </w:r>
          </w:p>
        </w:tc>
      </w:tr>
      <w:tr w14:paraId="384080F9">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0B37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FA9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数据仓库DWD层明细数据融合开发场景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0AD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首都信息发展股份有限公司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D32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面向企业数仓建设与业务数据服务，依托分层建模、多表融合、指标分层加工技术，整合DWD层全量原始明细数据，完成多表关联对齐、脏数据过滤、维度补齐、指标聚合，生成标准化汇总层数据。打通底层明细到业务应用链路，支撑报表、自助查询、经营分析快速取数，盘活海量原始明细数据资产，统一业务指标统计口径。</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42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DejaVu Sans" w:hAnsi="宋体" w:eastAsia="仿宋_GB2312" w:cs="DejaVu Sans"/>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数仓DWD层存储海量细粒度原始明细，仅完成基础清洗，缺少聚合、维度补全加工。明细数据无法直接支撑业务统计分析，业务人员需反复联表临时计算，查询性能差、指标口径混乱，海量底层数据闲置，数据链路断层，数据资产价值无法充分释放。</w:t>
            </w:r>
            <w:r>
              <w:rPr>
                <w:rStyle w:val="31"/>
                <w:rFonts w:hint="eastAsia" w:hAnsi="宋体" w:eastAsia="仿宋_GB2312"/>
                <w:i w:val="0"/>
                <w:iCs w:val="0"/>
                <w:color w:val="auto"/>
                <w:sz w:val="24"/>
                <w:highlight w:val="none"/>
                <w:lang w:val="en-US" w:eastAsia="zh-CN" w:bidi="ar"/>
              </w:rPr>
              <w:br w:type="textWrapping"/>
            </w:r>
            <w:r>
              <w:rPr>
                <w:rStyle w:val="31"/>
                <w:rFonts w:hint="eastAsia" w:hAnsi="宋体" w:eastAsia="仿宋_GB2312"/>
                <w:b/>
                <w:bCs/>
                <w:i w:val="0"/>
                <w:iCs w:val="0"/>
                <w:color w:val="auto"/>
                <w:sz w:val="24"/>
                <w:highlight w:val="none"/>
                <w:lang w:val="en-US" w:eastAsia="zh-CN" w:bidi="ar"/>
              </w:rPr>
              <w:t>二、拟解决的问题</w:t>
            </w:r>
          </w:p>
          <w:p w14:paraId="27B1E5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Style w:val="31"/>
                <w:rFonts w:hint="eastAsia" w:hAnsi="宋体" w:eastAsia="仿宋_GB2312"/>
                <w:i w:val="0"/>
                <w:iCs w:val="0"/>
                <w:color w:val="auto"/>
                <w:sz w:val="24"/>
                <w:highlight w:val="none"/>
                <w:lang w:val="en-US" w:eastAsia="zh-CN" w:bidi="ar"/>
              </w:rPr>
              <w:t>1.DWD明细无聚合加工逻辑，无法直接供业务使用。</w:t>
            </w:r>
          </w:p>
          <w:p w14:paraId="4387AE8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Style w:val="31"/>
                <w:rFonts w:hint="eastAsia" w:hAnsi="宋体" w:eastAsia="仿宋_GB2312"/>
                <w:i w:val="0"/>
                <w:iCs w:val="0"/>
                <w:color w:val="auto"/>
                <w:sz w:val="24"/>
                <w:highlight w:val="none"/>
                <w:lang w:val="en-US" w:eastAsia="zh-CN" w:bidi="ar"/>
              </w:rPr>
              <w:t>2.多明细表独立存储，跨表关联复杂，查询耗时、性能低下。</w:t>
            </w:r>
          </w:p>
          <w:p w14:paraId="5706A7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DejaVu Sans" w:hAnsi="宋体" w:eastAsia="仿宋_GB2312" w:cs="DejaVu Sans"/>
                <w:i w:val="0"/>
                <w:iCs w:val="0"/>
                <w:color w:val="auto"/>
                <w:kern w:val="2"/>
                <w:sz w:val="24"/>
                <w:szCs w:val="28"/>
                <w:highlight w:val="none"/>
                <w:u w:val="none"/>
                <w:lang w:val="en-US" w:eastAsia="zh-CN" w:bidi="ar"/>
              </w:rPr>
            </w:pPr>
            <w:r>
              <w:rPr>
                <w:rStyle w:val="31"/>
                <w:rFonts w:hint="eastAsia" w:hAnsi="宋体" w:eastAsia="仿宋_GB2312"/>
                <w:i w:val="0"/>
                <w:iCs w:val="0"/>
                <w:color w:val="auto"/>
                <w:sz w:val="24"/>
                <w:highlight w:val="none"/>
                <w:lang w:val="en-US" w:eastAsia="zh-CN" w:bidi="ar"/>
              </w:rPr>
              <w:t>3.明细存在冗余、缺失维度、无效日志，直接使用会造成指标失真，数据服务稳定性不足。</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25D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1.设计业务导向明细分层融合建模规范，统一多表关联逻辑；增量+全量同步方案平衡时效与算力；自动清洗规则过滤无效数据，保障上层指标精准可靠。</w:t>
            </w:r>
          </w:p>
          <w:p w14:paraId="48C6033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2.打通明细层至业务应用完整加工链路，盘活底层数据资产；统一全业务指标口径，消除统计混乱；一次加工多业务复用，大幅降低重复开发成本。</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F8E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张老师</w:t>
            </w:r>
          </w:p>
          <w:p w14:paraId="2904C3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13501276948</w:t>
            </w:r>
          </w:p>
        </w:tc>
      </w:tr>
      <w:tr w14:paraId="07010A7F">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E7C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2ED8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视频时空多源数据融合智能分析场景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9787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北京市大数据中心</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5FA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围绕数字孪生城市治理，整合视频监控、地理地图、物联感知、政务业务四类数据，依托多源接入、时空融合、跨模态分析、地图联动可视化技术，统一数据语义标准。实现事件自动识别、目标全域定位、轨迹回溯、孪生地图联动研判，构建事前预警、事中处置、事后复盘一体化能力，提升多部门协同治理效率。</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80E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29"/>
                <w:rFonts w:hAnsi="宋体" w:eastAsia="仿宋_GB2312"/>
                <w:i w:val="0"/>
                <w:iCs w:val="0"/>
                <w:color w:val="auto"/>
                <w:sz w:val="24"/>
                <w:highlight w:val="none"/>
                <w:lang w:val="en-US" w:eastAsia="zh-CN" w:bidi="ar"/>
              </w:rPr>
            </w:pPr>
            <w:r>
              <w:rPr>
                <w:rFonts w:hint="eastAsia" w:ascii="DejaVu Sans" w:hAnsi="宋体" w:eastAsia="仿宋_GB2312" w:cs="DejaVu Sans"/>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智慧城市海量视频、时空、物联数据爆发增长，但各系统独立建设形成数据烟囱，跨平台语义不互通，部门协同效率低；现有平台仅支持单一视频识别，缺少时空联动分析能力，项目定制化程度高、复用性差，治理效果无统一量化评测标准。</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p>
          <w:p w14:paraId="5D858CF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29"/>
                <w:rFonts w:hint="eastAsia" w:hAnsi="宋体" w:eastAsia="仿宋_GB2312"/>
                <w:b w:val="0"/>
                <w:bCs w:val="0"/>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1.</w:t>
            </w:r>
            <w:r>
              <w:rPr>
                <w:rStyle w:val="29"/>
                <w:rFonts w:hint="eastAsia" w:hAnsi="宋体" w:eastAsia="仿宋_GB2312"/>
                <w:b w:val="0"/>
                <w:bCs w:val="0"/>
                <w:i w:val="0"/>
                <w:iCs w:val="0"/>
                <w:color w:val="auto"/>
                <w:sz w:val="24"/>
                <w:highlight w:val="none"/>
                <w:lang w:val="en-US" w:eastAsia="zh-CN" w:bidi="ar"/>
              </w:rPr>
              <w:t>多源系统数据割裂，接入繁琐、无法协同。</w:t>
            </w:r>
          </w:p>
          <w:p w14:paraId="098098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2.</w:t>
            </w:r>
            <w:r>
              <w:rPr>
                <w:rStyle w:val="29"/>
                <w:rFonts w:hint="eastAsia" w:hAnsi="宋体" w:eastAsia="仿宋_GB2312"/>
                <w:b w:val="0"/>
                <w:bCs w:val="0"/>
                <w:i w:val="0"/>
                <w:iCs w:val="0"/>
                <w:color w:val="auto"/>
                <w:sz w:val="24"/>
                <w:highlight w:val="none"/>
                <w:lang w:val="en-US" w:eastAsia="zh-CN" w:bidi="ar"/>
              </w:rPr>
              <w:t>数据语义</w:t>
            </w:r>
            <w:r>
              <w:rPr>
                <w:rStyle w:val="31"/>
                <w:rFonts w:hint="eastAsia" w:hAnsi="宋体" w:eastAsia="仿宋_GB2312"/>
                <w:i w:val="0"/>
                <w:iCs w:val="0"/>
                <w:color w:val="auto"/>
                <w:sz w:val="24"/>
                <w:highlight w:val="none"/>
                <w:lang w:val="en-US" w:eastAsia="zh-CN" w:bidi="ar"/>
              </w:rPr>
              <w:t>不统一，跨模态关联分析难度大。</w:t>
            </w:r>
          </w:p>
          <w:p w14:paraId="1A4B0A3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Style w:val="31"/>
                <w:rFonts w:hint="eastAsia" w:hAnsi="宋体" w:eastAsia="仿宋_GB2312"/>
                <w:i w:val="0"/>
                <w:iCs w:val="0"/>
                <w:color w:val="auto"/>
                <w:sz w:val="24"/>
                <w:highlight w:val="none"/>
                <w:lang w:val="en-US" w:eastAsia="zh-CN" w:bidi="ar"/>
              </w:rPr>
              <w:t>3.仅单点视频分析，缺失轨迹、空间联动实战能力。</w:t>
            </w:r>
          </w:p>
          <w:p w14:paraId="667A262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31"/>
                <w:rFonts w:hint="eastAsia" w:hAnsi="宋体" w:eastAsia="仿宋_GB2312"/>
                <w:i w:val="0"/>
                <w:iCs w:val="0"/>
                <w:color w:val="auto"/>
                <w:sz w:val="24"/>
                <w:highlight w:val="none"/>
                <w:lang w:val="en-US" w:eastAsia="zh-CN" w:bidi="ar"/>
              </w:rPr>
            </w:pPr>
            <w:r>
              <w:rPr>
                <w:rStyle w:val="31"/>
                <w:rFonts w:hint="eastAsia" w:hAnsi="宋体" w:eastAsia="仿宋_GB2312"/>
                <w:i w:val="0"/>
                <w:iCs w:val="0"/>
                <w:color w:val="auto"/>
                <w:sz w:val="24"/>
                <w:highlight w:val="none"/>
                <w:lang w:val="en-US" w:eastAsia="zh-CN" w:bidi="ar"/>
              </w:rPr>
              <w:t>4.算法泛化弱、定制开发成本高。</w:t>
            </w:r>
          </w:p>
          <w:p w14:paraId="34CC694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DejaVu Sans" w:hAnsi="宋体" w:eastAsia="仿宋_GB2312" w:cs="DejaVu Sans"/>
                <w:b w:val="0"/>
                <w:bCs w:val="0"/>
                <w:i w:val="0"/>
                <w:iCs w:val="0"/>
                <w:color w:val="auto"/>
                <w:kern w:val="2"/>
                <w:sz w:val="24"/>
                <w:szCs w:val="28"/>
                <w:highlight w:val="none"/>
                <w:u w:val="none"/>
                <w:lang w:val="en-US" w:eastAsia="zh-CN" w:bidi="ar"/>
              </w:rPr>
            </w:pPr>
            <w:r>
              <w:rPr>
                <w:rStyle w:val="31"/>
                <w:rFonts w:hint="eastAsia" w:hAnsi="宋体" w:eastAsia="仿宋_GB2312"/>
                <w:i w:val="0"/>
                <w:iCs w:val="0"/>
                <w:color w:val="auto"/>
                <w:sz w:val="24"/>
                <w:highlight w:val="none"/>
                <w:lang w:val="en-US" w:eastAsia="zh-CN" w:bidi="ar"/>
              </w:rPr>
              <w:t>5.缺少统一治理效果量化评测体系。</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51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1.视频与时空地理一体化融合算法，实现画面与孪生地图毫秒联动；统一跨模态语义对齐规范破除数据壁垒；通用自适应视觉模型降低场景定制开发量。</w:t>
            </w:r>
          </w:p>
          <w:p w14:paraId="5639F4F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仿宋_GB2312" w:eastAsia="仿宋_GB2312" w:cs="仿宋_GB2312"/>
                <w:i w:val="0"/>
                <w:iCs w:val="0"/>
                <w:color w:val="auto"/>
                <w:kern w:val="2"/>
                <w:sz w:val="24"/>
                <w:szCs w:val="18"/>
                <w:highlight w:val="none"/>
                <w:lang w:val="en-US" w:eastAsia="zh-CN" w:bidi="ar-SA"/>
              </w:rPr>
            </w:pPr>
            <w:r>
              <w:rPr>
                <w:rFonts w:hint="eastAsia" w:ascii="仿宋_GB2312" w:hAnsi="仿宋_GB2312" w:eastAsia="仿宋_GB2312" w:cs="仿宋_GB2312"/>
                <w:i w:val="0"/>
                <w:iCs w:val="0"/>
                <w:color w:val="auto"/>
                <w:kern w:val="2"/>
                <w:sz w:val="24"/>
                <w:szCs w:val="18"/>
                <w:highlight w:val="none"/>
                <w:lang w:val="en-US" w:eastAsia="zh-CN" w:bidi="ar-SA"/>
              </w:rPr>
              <w:t>2.打通视频、物联、地图、政务数据孤岛，全域数据统一调度复用；从单一识别升级多维联合研判；建立行业统一智能治理效果量化评估标准。</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656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李老师</w:t>
            </w:r>
          </w:p>
          <w:p w14:paraId="4D497FB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010-55529760</w:t>
            </w:r>
          </w:p>
        </w:tc>
      </w:tr>
      <w:tr w14:paraId="0234977E">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2AF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623F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仿宋_GB2312" w:eastAsia="仿宋_GB2312" w:cs="仿宋_GB2312"/>
                <w:i w:val="0"/>
                <w:iCs w:val="0"/>
                <w:color w:val="auto"/>
                <w:kern w:val="0"/>
                <w:sz w:val="24"/>
                <w:szCs w:val="18"/>
                <w:highlight w:val="none"/>
                <w:lang w:val="en-US" w:eastAsia="zh-CN" w:bidi="ar"/>
              </w:rPr>
              <w:t>首钢股份热轧产线AI智能计划排程场景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C715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北京首钢股份有限公司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B05D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依托工业时序数据治理、全工序协同调度、大模型智能排程、动态应急调程技术，打通炼钢、热轧、冷轧、精整数据壁垒，融合板坯工艺、设备工况、订单、故障数据。搭建一体化AI排程系统，实现上下游联动排产、多品类柔性轧制、突发工况自适应调程，提升产线热装率与设备利用率，降低能耗，打造北京钢铁智能制造标杆。</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0C40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29"/>
                <w:rFonts w:hAnsi="宋体" w:eastAsia="仿宋_GB2312"/>
                <w:i w:val="0"/>
                <w:iCs w:val="0"/>
                <w:color w:val="auto"/>
                <w:sz w:val="24"/>
                <w:highlight w:val="none"/>
                <w:lang w:val="en-US" w:eastAsia="zh-CN" w:bidi="ar"/>
              </w:rPr>
            </w:pPr>
            <w:r>
              <w:rPr>
                <w:rFonts w:hint="eastAsia" w:ascii="DejaVu Sans" w:hAnsi="宋体" w:eastAsia="仿宋_GB2312" w:cs="DejaVu Sans"/>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钢铁行业推进数字化低碳转型，热轧作为核心工序直接决定产能与能耗。当前热轧排程依靠人工经验+传统算法，多品种小批量订单排产压力大；炼钢、热轧、冷轧工序数据割裂，生产节奏脱节，是国内钢铁行业智能制造转型普遍存在的核心卡点。</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p>
          <w:p w14:paraId="4ED8B50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29"/>
                <w:rFonts w:hint="eastAsia" w:hAnsi="宋体" w:eastAsia="仿宋_GB2312"/>
                <w:b w:val="0"/>
                <w:bCs w:val="0"/>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1.</w:t>
            </w:r>
            <w:r>
              <w:rPr>
                <w:rStyle w:val="29"/>
                <w:rFonts w:hint="eastAsia" w:hAnsi="宋体" w:eastAsia="仿宋_GB2312"/>
                <w:b w:val="0"/>
                <w:bCs w:val="0"/>
                <w:i w:val="0"/>
                <w:iCs w:val="0"/>
                <w:color w:val="auto"/>
                <w:sz w:val="24"/>
                <w:highlight w:val="none"/>
                <w:lang w:val="en-US" w:eastAsia="zh-CN" w:bidi="ar"/>
              </w:rPr>
              <w:t>炼钢热轧数据不通，板坯等待久、热装率低、能耗偏高。</w:t>
            </w:r>
          </w:p>
          <w:p w14:paraId="24AD93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29"/>
                <w:rFonts w:hint="eastAsia" w:hAnsi="宋体" w:eastAsia="仿宋_GB2312"/>
                <w:b w:val="0"/>
                <w:bCs w:val="0"/>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2.</w:t>
            </w:r>
            <w:r>
              <w:rPr>
                <w:rStyle w:val="29"/>
                <w:rFonts w:hint="eastAsia" w:hAnsi="宋体" w:eastAsia="仿宋_GB2312"/>
                <w:b w:val="0"/>
                <w:bCs w:val="0"/>
                <w:i w:val="0"/>
                <w:iCs w:val="0"/>
                <w:color w:val="auto"/>
                <w:sz w:val="24"/>
                <w:highlight w:val="none"/>
                <w:lang w:val="en-US" w:eastAsia="zh-CN" w:bidi="ar"/>
              </w:rPr>
              <w:t>多品类工艺约束复杂，传统算法易出现排程冲突、设备利用率低。</w:t>
            </w:r>
          </w:p>
          <w:p w14:paraId="6CD09C2D">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29"/>
                <w:rFonts w:hint="eastAsia" w:hAnsi="宋体" w:eastAsia="仿宋_GB2312"/>
                <w:b w:val="0"/>
                <w:bCs w:val="0"/>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3.</w:t>
            </w:r>
            <w:r>
              <w:rPr>
                <w:rStyle w:val="29"/>
                <w:rFonts w:hint="eastAsia" w:hAnsi="宋体" w:eastAsia="仿宋_GB2312"/>
                <w:b w:val="0"/>
                <w:bCs w:val="0"/>
                <w:i w:val="0"/>
                <w:iCs w:val="0"/>
                <w:color w:val="auto"/>
                <w:sz w:val="24"/>
                <w:highlight w:val="none"/>
                <w:lang w:val="en-US" w:eastAsia="zh-CN" w:bidi="ar"/>
              </w:rPr>
              <w:t>前后工序无动态协同，库存积压、产能浪费。</w:t>
            </w:r>
          </w:p>
          <w:p w14:paraId="3AA787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DejaVu Sans" w:hAnsi="宋体" w:eastAsia="仿宋_GB2312" w:cs="DejaVu Sans"/>
                <w:i w:val="0"/>
                <w:iCs w:val="0"/>
                <w:color w:val="auto"/>
                <w:kern w:val="2"/>
                <w:sz w:val="24"/>
                <w:szCs w:val="28"/>
                <w:highlight w:val="none"/>
                <w:u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4.</w:t>
            </w:r>
            <w:r>
              <w:rPr>
                <w:rStyle w:val="29"/>
                <w:rFonts w:hint="eastAsia" w:hAnsi="宋体" w:eastAsia="仿宋_GB2312"/>
                <w:b w:val="0"/>
                <w:bCs w:val="0"/>
                <w:i w:val="0"/>
                <w:iCs w:val="0"/>
                <w:color w:val="auto"/>
                <w:sz w:val="24"/>
                <w:highlight w:val="none"/>
                <w:lang w:val="en-US" w:eastAsia="zh-CN" w:bidi="ar"/>
              </w:rPr>
              <w:t>工业数据未深度利用，订单、设备异常下人工调程响应滞后。</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3A2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1.炼钢-热轧-冷轧全工序联动排程算法打破工序孤岛；多约束自适应模型适配差异化轧制规则；融合时序数据与大模型，毫秒级完成突发场景动态调程。</w:t>
            </w:r>
          </w:p>
          <w:p w14:paraId="1AC6B6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2.盘活产线海量工业时序数据，形成复盘优化闭环；统一全工序排程数据标准；依托数据持续迭代排程策略，优化等待时长、热装率等关键生产指标。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D5E3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张老师</w:t>
            </w:r>
          </w:p>
          <w:p w14:paraId="2C09239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18531561516</w:t>
            </w:r>
          </w:p>
        </w:tc>
      </w:tr>
      <w:tr w14:paraId="3EDAD950">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62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C60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rPr>
                <w:rFonts w:hint="eastAsia" w:ascii="仿宋_GB2312" w:hAnsi="仿宋_GB2312" w:eastAsia="仿宋_GB2312" w:cs="仿宋_GB2312"/>
                <w:i w:val="0"/>
                <w:iCs w:val="0"/>
                <w:color w:val="auto"/>
                <w:kern w:val="0"/>
                <w:sz w:val="24"/>
                <w:szCs w:val="18"/>
                <w:highlight w:val="none"/>
                <w:lang w:val="en-US" w:eastAsia="zh-CN" w:bidi="ar"/>
              </w:rPr>
            </w:pPr>
            <w:r>
              <w:rPr>
                <w:rFonts w:hint="eastAsia" w:ascii="仿宋_GB2312" w:hAnsi="仿宋_GB2312" w:eastAsia="仿宋_GB2312" w:cs="仿宋_GB2312"/>
                <w:i w:val="0"/>
                <w:iCs w:val="0"/>
                <w:color w:val="auto"/>
                <w:kern w:val="0"/>
                <w:sz w:val="24"/>
                <w:szCs w:val="18"/>
                <w:highlight w:val="none"/>
                <w:lang w:val="en-US" w:eastAsia="zh-CN" w:bidi="ar"/>
              </w:rPr>
              <w:t>北京智慧社区数据驱动智能服务运营场景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78D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北京首开城市运营服务集团有限公司</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031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面向北京智慧社区精细化运营，汇聚门禁、安防、报修、缴费、运维等多源社区数据，依托数据融合治理、居民画像、需求挖掘、智能推荐技术，搭建数据驱动运营决策平台。自动识别居民显性及隐性需求，精准推送便民服务，量化运营成效，智能挖掘增值业务方向，以数据支撑社区精细化治理与物业可持续数字化运营。</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8BE2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left"/>
              <w:textAlignment w:val="center"/>
              <w:rPr>
                <w:rStyle w:val="29"/>
                <w:rFonts w:hAnsi="宋体" w:eastAsia="仿宋_GB2312"/>
                <w:i w:val="0"/>
                <w:iCs w:val="0"/>
                <w:color w:val="auto"/>
                <w:sz w:val="24"/>
                <w:highlight w:val="none"/>
                <w:lang w:val="en-US" w:eastAsia="zh-CN" w:bidi="ar"/>
              </w:rPr>
            </w:pPr>
            <w:r>
              <w:rPr>
                <w:rFonts w:hint="eastAsia" w:ascii="DejaVu Sans" w:hAnsi="宋体" w:eastAsia="仿宋_GB2312" w:cs="DejaVu Sans"/>
                <w:b/>
                <w:bCs/>
                <w:i w:val="0"/>
                <w:iCs w:val="0"/>
                <w:color w:val="auto"/>
                <w:kern w:val="2"/>
                <w:sz w:val="24"/>
                <w:szCs w:val="28"/>
                <w:lang w:val="en-US" w:eastAsia="zh-CN" w:bidi="ar"/>
              </w:rPr>
              <w:t>一、</w:t>
            </w:r>
            <w:r>
              <w:rPr>
                <w:rStyle w:val="29"/>
                <w:rFonts w:hAnsi="宋体" w:eastAsia="仿宋_GB2312"/>
                <w:b/>
                <w:bCs/>
                <w:i w:val="0"/>
                <w:iCs w:val="0"/>
                <w:color w:val="auto"/>
                <w:sz w:val="24"/>
                <w:highlight w:val="none"/>
                <w:lang w:val="en-US" w:eastAsia="zh-CN" w:bidi="ar"/>
              </w:rPr>
              <w:t>背景情况</w:t>
            </w:r>
            <w:r>
              <w:rPr>
                <w:rStyle w:val="31"/>
                <w:rFonts w:hAnsi="宋体" w:eastAsia="仿宋_GB2312"/>
                <w:i w:val="0"/>
                <w:iCs w:val="0"/>
                <w:color w:val="auto"/>
                <w:sz w:val="24"/>
                <w:highlight w:val="none"/>
                <w:lang w:val="en-US" w:eastAsia="zh-CN" w:bidi="ar"/>
              </w:rPr>
              <w:br w:type="textWrapping"/>
            </w:r>
            <w:r>
              <w:rPr>
                <w:rStyle w:val="31"/>
                <w:rFonts w:hint="eastAsia" w:hAnsi="宋体" w:eastAsia="仿宋_GB2312"/>
                <w:i w:val="0"/>
                <w:iCs w:val="0"/>
                <w:color w:val="auto"/>
                <w:sz w:val="24"/>
                <w:highlight w:val="none"/>
                <w:lang w:val="en-US" w:eastAsia="zh-CN" w:bidi="ar"/>
              </w:rPr>
              <w:t>北京智慧社区数字化设施全面普及，但各物业子系统数据相互割裂。传统物业依靠人工经验管理，居民需求识别粗放，服务供给同质化；增值业务布局缺少数据支撑，运营决策无量化依据，居民满意度与物业经营收益难以同步提升，制约基层智慧治理升级。</w:t>
            </w:r>
            <w:r>
              <w:rPr>
                <w:rStyle w:val="31"/>
                <w:rFonts w:hAnsi="宋体" w:eastAsia="仿宋_GB2312"/>
                <w:i w:val="0"/>
                <w:iCs w:val="0"/>
                <w:color w:val="auto"/>
                <w:sz w:val="24"/>
                <w:highlight w:val="none"/>
                <w:lang w:val="en-US" w:eastAsia="zh-CN" w:bidi="ar"/>
              </w:rPr>
              <w:br w:type="textWrapping"/>
            </w:r>
            <w:r>
              <w:rPr>
                <w:rStyle w:val="29"/>
                <w:rFonts w:hAnsi="宋体" w:eastAsia="仿宋_GB2312"/>
                <w:b/>
                <w:bCs/>
                <w:i w:val="0"/>
                <w:iCs w:val="0"/>
                <w:color w:val="auto"/>
                <w:sz w:val="24"/>
                <w:highlight w:val="none"/>
                <w:lang w:val="en-US" w:eastAsia="zh-CN" w:bidi="ar"/>
              </w:rPr>
              <w:t>二、拟解决的问题</w:t>
            </w:r>
          </w:p>
          <w:p w14:paraId="440F370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29"/>
                <w:rFonts w:hint="eastAsia" w:hAnsi="宋体" w:eastAsia="仿宋_GB2312"/>
                <w:b w:val="0"/>
                <w:bCs w:val="0"/>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1.</w:t>
            </w:r>
            <w:r>
              <w:rPr>
                <w:rStyle w:val="29"/>
                <w:rFonts w:hint="eastAsia" w:hAnsi="宋体" w:eastAsia="仿宋_GB2312"/>
                <w:b w:val="0"/>
                <w:bCs w:val="0"/>
                <w:i w:val="0"/>
                <w:iCs w:val="0"/>
                <w:color w:val="auto"/>
                <w:sz w:val="24"/>
                <w:highlight w:val="none"/>
                <w:lang w:val="en-US" w:eastAsia="zh-CN" w:bidi="ar"/>
              </w:rPr>
              <w:t>社区多类业务数据分散，无法形成统一数据资产。</w:t>
            </w:r>
          </w:p>
          <w:p w14:paraId="354C15E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29"/>
                <w:rFonts w:hint="eastAsia" w:hAnsi="宋体" w:eastAsia="仿宋_GB2312"/>
                <w:b w:val="0"/>
                <w:bCs w:val="0"/>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2.</w:t>
            </w:r>
            <w:r>
              <w:rPr>
                <w:rStyle w:val="29"/>
                <w:rFonts w:hint="eastAsia" w:hAnsi="宋体" w:eastAsia="仿宋_GB2312"/>
                <w:b w:val="0"/>
                <w:bCs w:val="0"/>
                <w:i w:val="0"/>
                <w:iCs w:val="0"/>
                <w:color w:val="auto"/>
                <w:sz w:val="24"/>
                <w:highlight w:val="none"/>
                <w:lang w:val="en-US" w:eastAsia="zh-CN" w:bidi="ar"/>
              </w:rPr>
              <w:t>人工摸排居民诉求，难以识别个性化隐性需求；</w:t>
            </w:r>
          </w:p>
          <w:p w14:paraId="3E94689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Style w:val="29"/>
                <w:rFonts w:hint="eastAsia" w:hAnsi="宋体" w:eastAsia="仿宋_GB2312"/>
                <w:b w:val="0"/>
                <w:bCs w:val="0"/>
                <w:i w:val="0"/>
                <w:iCs w:val="0"/>
                <w:color w:val="auto"/>
                <w:sz w:val="24"/>
                <w:highlight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3.</w:t>
            </w:r>
            <w:r>
              <w:rPr>
                <w:rStyle w:val="29"/>
                <w:rFonts w:hint="eastAsia" w:hAnsi="宋体" w:eastAsia="仿宋_GB2312"/>
                <w:b w:val="0"/>
                <w:bCs w:val="0"/>
                <w:i w:val="0"/>
                <w:iCs w:val="0"/>
                <w:color w:val="auto"/>
                <w:sz w:val="24"/>
                <w:highlight w:val="none"/>
                <w:lang w:val="en-US" w:eastAsia="zh-CN" w:bidi="ar"/>
              </w:rPr>
              <w:t>物业服务一刀切，精准匹配服务能力不足。</w:t>
            </w:r>
          </w:p>
          <w:p w14:paraId="12A75028">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left"/>
              <w:textAlignment w:val="center"/>
              <w:rPr>
                <w:rFonts w:hint="eastAsia" w:ascii="DejaVu Sans" w:hAnsi="宋体" w:eastAsia="仿宋_GB2312" w:cs="DejaVu Sans"/>
                <w:i w:val="0"/>
                <w:iCs w:val="0"/>
                <w:color w:val="auto"/>
                <w:kern w:val="2"/>
                <w:sz w:val="24"/>
                <w:szCs w:val="28"/>
                <w:highlight w:val="none"/>
                <w:u w:val="none"/>
                <w:lang w:val="en-US" w:eastAsia="zh-CN" w:bidi="ar"/>
              </w:rPr>
            </w:pPr>
            <w:r>
              <w:rPr>
                <w:rFonts w:hint="eastAsia" w:ascii="仿宋_GB2312" w:hAnsi="宋体" w:eastAsia="仿宋_GB2312" w:cs="仿宋_GB2312"/>
                <w:b w:val="0"/>
                <w:bCs w:val="0"/>
                <w:i w:val="0"/>
                <w:iCs w:val="0"/>
                <w:color w:val="auto"/>
                <w:kern w:val="2"/>
                <w:sz w:val="24"/>
                <w:szCs w:val="18"/>
                <w:lang w:val="en-US" w:eastAsia="zh-CN" w:bidi="ar"/>
              </w:rPr>
              <w:t>4.</w:t>
            </w:r>
            <w:r>
              <w:rPr>
                <w:rStyle w:val="29"/>
                <w:rFonts w:hint="eastAsia" w:hAnsi="宋体" w:eastAsia="仿宋_GB2312"/>
                <w:b w:val="0"/>
                <w:bCs w:val="0"/>
                <w:i w:val="0"/>
                <w:iCs w:val="0"/>
                <w:color w:val="auto"/>
                <w:sz w:val="24"/>
                <w:highlight w:val="none"/>
                <w:lang w:val="en-US" w:eastAsia="zh-CN" w:bidi="ar"/>
              </w:rPr>
              <w:t>增值业务研判缺少数据支撑，运营决策缺乏科学量化依据。</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79BD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1.社区低敏数据融合框架平衡隐私安全与分析能力；分层需求挖掘模型区分基础刚需与增值需求；轻量化画像算法适配碎片化社区数据，降低平台运维成本。</w:t>
            </w:r>
          </w:p>
          <w:p w14:paraId="2EEFF17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left"/>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2.打通社区系统数据孤岛，盘活存量数字化资产；从人工主观判断转为数据量化研判；居民需求动态迭代，持续优化社区服务供给内容。</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E336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祝老师</w:t>
            </w:r>
          </w:p>
          <w:p w14:paraId="2DA2DEF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rightChars="0"/>
              <w:jc w:val="center"/>
              <w:textAlignment w:val="center"/>
              <w:rPr>
                <w:rFonts w:hint="eastAsia" w:ascii="仿宋_GB2312" w:hAnsi="宋体" w:eastAsia="仿宋_GB2312" w:cs="仿宋_GB2312"/>
                <w:i w:val="0"/>
                <w:iCs w:val="0"/>
                <w:color w:val="auto"/>
                <w:kern w:val="0"/>
                <w:sz w:val="24"/>
                <w:szCs w:val="18"/>
                <w:highlight w:val="none"/>
                <w:u w:val="none"/>
                <w:lang w:val="en-US" w:eastAsia="zh-CN" w:bidi="ar"/>
              </w:rPr>
            </w:pPr>
            <w:r>
              <w:rPr>
                <w:rFonts w:hint="eastAsia" w:ascii="仿宋_GB2312" w:hAnsi="宋体" w:eastAsia="仿宋_GB2312" w:cs="仿宋_GB2312"/>
                <w:i w:val="0"/>
                <w:iCs w:val="0"/>
                <w:color w:val="auto"/>
                <w:kern w:val="0"/>
                <w:sz w:val="24"/>
                <w:szCs w:val="18"/>
                <w:highlight w:val="none"/>
                <w:u w:val="none"/>
                <w:lang w:val="en-US" w:eastAsia="zh-CN" w:bidi="ar"/>
              </w:rPr>
              <w:t>15601242930</w:t>
            </w:r>
          </w:p>
        </w:tc>
      </w:tr>
      <w:tr w14:paraId="4452DD01">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AC3E">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u w:val="none"/>
                <w:lang w:val="en-US" w:eastAsia="zh-CN"/>
              </w:rPr>
              <w:t>13</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B66C">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u w:val="none"/>
                <w:lang w:val="en-US" w:eastAsia="zh-CN"/>
              </w:rPr>
              <w:t>“京小融”智能体构建场景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91F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sz w:val="24"/>
                <w:szCs w:val="24"/>
                <w:highlight w:val="none"/>
                <w:lang w:val="en-US" w:eastAsia="zh-CN"/>
              </w:rPr>
              <w:t>市教委</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00D6">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sz w:val="24"/>
                <w:szCs w:val="24"/>
                <w:lang w:eastAsia="zh-CN"/>
              </w:rPr>
              <w:t>聚焦</w:t>
            </w:r>
            <w:r>
              <w:rPr>
                <w:rFonts w:hint="eastAsia" w:ascii="仿宋_GB2312" w:hAnsi="仿宋_GB2312" w:eastAsia="仿宋_GB2312" w:cs="仿宋_GB2312"/>
                <w:sz w:val="24"/>
                <w:szCs w:val="24"/>
              </w:rPr>
              <w:t>特殊需要儿童少年的融合教育需求，建设全流程</w:t>
            </w:r>
            <w:r>
              <w:rPr>
                <w:rFonts w:hint="eastAsia" w:ascii="仿宋_GB2312" w:hAnsi="仿宋_GB2312" w:eastAsia="仿宋_GB2312" w:cs="仿宋_GB2312"/>
                <w:sz w:val="24"/>
                <w:szCs w:val="24"/>
                <w:lang w:eastAsia="zh-CN"/>
              </w:rPr>
              <w:t>闭环</w:t>
            </w:r>
            <w:r>
              <w:rPr>
                <w:rFonts w:hint="eastAsia" w:ascii="仿宋_GB2312" w:hAnsi="仿宋_GB2312" w:eastAsia="仿宋_GB2312" w:cs="仿宋_GB2312"/>
                <w:sz w:val="24"/>
                <w:szCs w:val="24"/>
                <w:lang w:val="en-US" w:eastAsia="zh-CN"/>
              </w:rPr>
              <w:t>的个性化</w:t>
            </w:r>
            <w:r>
              <w:rPr>
                <w:rFonts w:hint="eastAsia" w:ascii="仿宋_GB2312" w:hAnsi="仿宋_GB2312" w:eastAsia="仿宋_GB2312" w:cs="仿宋_GB2312"/>
                <w:sz w:val="24"/>
                <w:szCs w:val="24"/>
              </w:rPr>
              <w:t>智能支持系统</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智能体</w:t>
            </w:r>
            <w:r>
              <w:rPr>
                <w:rFonts w:hint="eastAsia" w:ascii="仿宋_GB2312" w:hAnsi="仿宋_GB2312" w:eastAsia="仿宋_GB2312" w:cs="仿宋_GB2312"/>
                <w:sz w:val="24"/>
                <w:szCs w:val="24"/>
                <w:lang w:eastAsia="zh-CN"/>
              </w:rPr>
              <w:t>），面向普通中小学、幼儿园</w:t>
            </w:r>
            <w:r>
              <w:rPr>
                <w:rFonts w:hint="eastAsia" w:ascii="仿宋_GB2312" w:hAnsi="仿宋_GB2312" w:eastAsia="仿宋_GB2312" w:cs="仿宋_GB2312"/>
                <w:sz w:val="24"/>
                <w:szCs w:val="24"/>
              </w:rPr>
              <w:t>班主任、学科教师等一线教育工作者</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提供智能分诊、问题评估、报告解析、策略推荐、方案生成、执行追踪和动态复盘等核心功能，通过多模态交互和低门槛使用赋能融合教育常态化、个性化开展，提升特殊教育服务精准性、连续性、专业化水平，促进特殊教育与普通教育真正融合</w:t>
            </w:r>
            <w:r>
              <w:rPr>
                <w:rFonts w:hint="eastAsia" w:ascii="仿宋_GB2312" w:hAnsi="仿宋_GB2312" w:eastAsia="仿宋_GB2312" w:cs="仿宋_GB2312"/>
                <w:sz w:val="24"/>
                <w:szCs w:val="24"/>
              </w:rPr>
              <w:t>。</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C5905">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lang w:eastAsia="zh-CN"/>
              </w:rPr>
              <w:t>背景</w:t>
            </w:r>
            <w:r>
              <w:rPr>
                <w:rFonts w:hint="eastAsia" w:ascii="仿宋_GB2312" w:hAnsi="仿宋_GB2312" w:eastAsia="仿宋_GB2312" w:cs="仿宋_GB2312"/>
                <w:b/>
                <w:bCs/>
                <w:sz w:val="24"/>
                <w:szCs w:val="24"/>
                <w:lang w:val="en-US" w:eastAsia="zh-CN"/>
              </w:rPr>
              <w:t>情况</w:t>
            </w:r>
          </w:p>
          <w:p w14:paraId="11CBFF73">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目前，</w:t>
            </w:r>
            <w:r>
              <w:rPr>
                <w:rFonts w:hint="eastAsia" w:ascii="仿宋_GB2312" w:hAnsi="仿宋_GB2312" w:eastAsia="仿宋_GB2312" w:cs="仿宋_GB2312"/>
                <w:sz w:val="24"/>
                <w:szCs w:val="24"/>
                <w:lang w:val="en-US" w:eastAsia="zh-CN"/>
              </w:rPr>
              <w:t>全市已有超过1000所普通中小学</w:t>
            </w:r>
            <w:r>
              <w:rPr>
                <w:rFonts w:hint="eastAsia" w:ascii="仿宋_GB2312" w:hAnsi="仿宋_GB2312" w:eastAsia="仿宋_GB2312" w:cs="仿宋_GB2312"/>
                <w:sz w:val="24"/>
                <w:szCs w:val="24"/>
                <w:lang w:eastAsia="zh-CN"/>
              </w:rPr>
              <w:t>开展融合教育，随班就读学生约占备案特殊学生群体总数的70%，这些学生不仅包括肢体、视力、听力等</w:t>
            </w:r>
            <w:r>
              <w:rPr>
                <w:rFonts w:hint="eastAsia" w:ascii="仿宋_GB2312" w:hAnsi="仿宋_GB2312" w:eastAsia="仿宋_GB2312" w:cs="仿宋_GB2312"/>
                <w:sz w:val="24"/>
                <w:szCs w:val="24"/>
                <w:lang w:val="en-US" w:eastAsia="zh-CN"/>
              </w:rPr>
              <w:t>7类残疾，还包括</w:t>
            </w:r>
            <w:r>
              <w:rPr>
                <w:rFonts w:hint="eastAsia" w:ascii="仿宋_GB2312" w:hAnsi="仿宋_GB2312" w:eastAsia="仿宋_GB2312" w:cs="仿宋_GB2312"/>
                <w:sz w:val="24"/>
                <w:szCs w:val="24"/>
                <w:lang w:eastAsia="zh-CN"/>
              </w:rPr>
              <w:t>注意缺陷多动障碍、孤独症谱系障碍等类别。北京市持续建设融合教育专业评估工具及支持资源，“以智助融”系统一期为</w:t>
            </w:r>
            <w:r>
              <w:rPr>
                <w:rFonts w:hint="eastAsia" w:ascii="仿宋_GB2312" w:hAnsi="仿宋_GB2312" w:eastAsia="仿宋_GB2312" w:cs="仿宋_GB2312"/>
                <w:sz w:val="24"/>
                <w:szCs w:val="24"/>
                <w:lang w:val="en-US" w:eastAsia="zh-CN"/>
              </w:rPr>
              <w:t>本场景</w:t>
            </w:r>
            <w:r>
              <w:rPr>
                <w:rFonts w:hint="eastAsia" w:ascii="仿宋_GB2312" w:hAnsi="仿宋_GB2312" w:eastAsia="仿宋_GB2312" w:cs="仿宋_GB2312"/>
                <w:sz w:val="24"/>
                <w:szCs w:val="24"/>
                <w:lang w:eastAsia="zh-CN"/>
              </w:rPr>
              <w:t>智能体研发积累了一定的数据、模型与应用经验。</w:t>
            </w:r>
          </w:p>
          <w:p w14:paraId="4F5A5E7C">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二、拟</w:t>
            </w:r>
            <w:r>
              <w:rPr>
                <w:rFonts w:hint="eastAsia" w:ascii="仿宋_GB2312" w:hAnsi="仿宋_GB2312" w:eastAsia="仿宋_GB2312" w:cs="仿宋_GB2312"/>
                <w:b/>
                <w:bCs/>
                <w:sz w:val="24"/>
                <w:szCs w:val="24"/>
                <w:lang w:eastAsia="zh-CN"/>
              </w:rPr>
              <w:t>解决问题</w:t>
            </w:r>
          </w:p>
          <w:p w14:paraId="63934E73">
            <w:pPr>
              <w:keepNext w:val="0"/>
              <w:keepLines w:val="0"/>
              <w:pageBreakBefore w:val="0"/>
              <w:numPr>
                <w:ilvl w:val="0"/>
                <w:numId w:val="0"/>
              </w:numPr>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1.解决普通中小学幼儿园特殊教育专业师资不足、专业性不高等问题，满足常态化教学过程的融合教育需求。</w:t>
            </w:r>
          </w:p>
          <w:p w14:paraId="5ED7DE7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2.解决特殊需求</w:t>
            </w:r>
            <w:r>
              <w:rPr>
                <w:rFonts w:hint="eastAsia" w:ascii="仿宋_GB2312" w:hAnsi="仿宋_GB2312" w:eastAsia="仿宋_GB2312" w:cs="仿宋_GB2312"/>
                <w:sz w:val="24"/>
                <w:szCs w:val="24"/>
                <w:lang w:eastAsia="zh-CN"/>
              </w:rPr>
              <w:t>策略缺乏针对性的问题，匹配学生个体化需求。</w:t>
            </w:r>
          </w:p>
          <w:p w14:paraId="3A40C12A">
            <w:pPr>
              <w:keepNext w:val="0"/>
              <w:keepLines w:val="0"/>
              <w:pageBreakBefore w:val="0"/>
              <w:widowControl/>
              <w:numPr>
                <w:ilvl w:val="-1"/>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textAlignment w:val="auto"/>
              <w:rPr>
                <w:rFonts w:hint="eastAsia" w:ascii="仿宋_GB2312" w:hAnsi="仿宋_GB2312" w:eastAsia="仿宋_GB2312" w:cs="仿宋_GB2312"/>
                <w:b w:val="0"/>
                <w:bCs w:val="0"/>
                <w:i w:val="0"/>
                <w:iCs w:val="0"/>
                <w:color w:val="auto"/>
                <w:kern w:val="2"/>
                <w:sz w:val="24"/>
                <w:szCs w:val="24"/>
                <w:u w:val="none"/>
                <w:lang w:val="en-US" w:eastAsia="zh-CN" w:bidi="ar"/>
              </w:rPr>
            </w:pPr>
            <w:r>
              <w:rPr>
                <w:rFonts w:hint="eastAsia" w:ascii="仿宋_GB2312" w:hAnsi="仿宋_GB2312" w:eastAsia="仿宋_GB2312" w:cs="仿宋_GB2312"/>
                <w:sz w:val="24"/>
                <w:szCs w:val="24"/>
                <w:lang w:val="en-US" w:eastAsia="zh-CN"/>
              </w:rPr>
              <w:t>3.解决个性化教育策略</w:t>
            </w:r>
            <w:r>
              <w:rPr>
                <w:rFonts w:hint="eastAsia" w:ascii="仿宋_GB2312" w:hAnsi="仿宋_GB2312" w:eastAsia="仿宋_GB2312" w:cs="仿宋_GB2312"/>
                <w:sz w:val="24"/>
                <w:szCs w:val="24"/>
                <w:lang w:eastAsia="zh-CN"/>
              </w:rPr>
              <w:t>执行过程无闭环的问题，</w:t>
            </w:r>
            <w:r>
              <w:rPr>
                <w:rFonts w:hint="eastAsia" w:ascii="仿宋_GB2312" w:hAnsi="仿宋_GB2312" w:eastAsia="仿宋_GB2312" w:cs="仿宋_GB2312"/>
                <w:sz w:val="24"/>
                <w:szCs w:val="24"/>
                <w:lang w:val="en-US" w:eastAsia="zh-CN"/>
              </w:rPr>
              <w:t>补充</w:t>
            </w:r>
            <w:r>
              <w:rPr>
                <w:rFonts w:hint="eastAsia" w:ascii="仿宋_GB2312" w:hAnsi="仿宋_GB2312" w:eastAsia="仿宋_GB2312" w:cs="仿宋_GB2312"/>
                <w:sz w:val="24"/>
                <w:szCs w:val="24"/>
                <w:lang w:eastAsia="zh-CN"/>
              </w:rPr>
              <w:t>过程留痕与复盘机制。</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7E1B3">
            <w:pPr>
              <w:keepNext w:val="0"/>
              <w:keepLines w:val="0"/>
              <w:pageBreakBefore w:val="0"/>
              <w:numPr>
                <w:ilvl w:val="0"/>
                <w:numId w:val="0"/>
              </w:numPr>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1.以递进式自然语言对话模式开展AI诊断，</w:t>
            </w:r>
            <w:r>
              <w:rPr>
                <w:rFonts w:hint="eastAsia" w:ascii="仿宋_GB2312" w:hAnsi="仿宋_GB2312" w:eastAsia="仿宋_GB2312" w:cs="仿宋_GB2312"/>
                <w:sz w:val="24"/>
                <w:szCs w:val="24"/>
                <w:lang w:val="en-US" w:eastAsia="zh-CN"/>
              </w:rPr>
              <w:t>全面支持文字与语音双模式输入，自动分析关键问题并匹配评估工具，通过简易交互实现专业评估诊断，降低教师使用门槛，提升场景适用性与用户体验。</w:t>
            </w:r>
          </w:p>
          <w:p w14:paraId="3CFA253D">
            <w:pPr>
              <w:keepNext w:val="0"/>
              <w:keepLines w:val="0"/>
              <w:pageBreakBefore w:val="0"/>
              <w:numPr>
                <w:ilvl w:val="0"/>
                <w:numId w:val="0"/>
              </w:numPr>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sz w:val="24"/>
                <w:szCs w:val="24"/>
                <w:lang w:val="en-US" w:eastAsia="zh-CN"/>
              </w:rPr>
              <w:t>2.构建“问题确认→智能评估→报告解析→策略推荐→方案生成→打卡执行→复盘复用”七步闭环，</w:t>
            </w:r>
            <w:r>
              <w:rPr>
                <w:rFonts w:hint="eastAsia" w:ascii="仿宋_GB2312" w:hAnsi="仿宋_GB2312" w:eastAsia="仿宋_GB2312" w:cs="仿宋_GB2312"/>
                <w:sz w:val="24"/>
                <w:szCs w:val="24"/>
                <w:lang w:val="en-US" w:eastAsia="zh-CN"/>
              </w:rPr>
              <w:t>AI赋能贯穿每个环节，实现从识别到干预的完整业务链路。</w:t>
            </w:r>
          </w:p>
          <w:p w14:paraId="0662BA5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textAlignment w:val="auto"/>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sz w:val="24"/>
                <w:szCs w:val="24"/>
                <w:lang w:val="en-US" w:eastAsia="zh-CN"/>
              </w:rPr>
              <w:t>3.以过程性数据复用沉淀校本特色策略库，</w:t>
            </w:r>
            <w:r>
              <w:rPr>
                <w:rFonts w:hint="eastAsia" w:ascii="仿宋_GB2312" w:hAnsi="仿宋_GB2312" w:eastAsia="仿宋_GB2312" w:cs="仿宋_GB2312"/>
                <w:sz w:val="24"/>
                <w:szCs w:val="24"/>
                <w:lang w:val="en-US" w:eastAsia="zh-CN"/>
              </w:rPr>
              <w:t>教师可对优质干预策略进行标记、评价与共享，形成可积累、可复用的校本特色策略库，持续优化干预效果。</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11B6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史</w:t>
            </w:r>
            <w:r>
              <w:rPr>
                <w:rFonts w:hint="eastAsia" w:ascii="仿宋_GB2312" w:hAnsi="宋体" w:eastAsia="仿宋_GB2312" w:cs="仿宋_GB2312"/>
                <w:i w:val="0"/>
                <w:iCs w:val="0"/>
                <w:color w:val="auto"/>
                <w:kern w:val="0"/>
                <w:sz w:val="24"/>
                <w:szCs w:val="24"/>
                <w:highlight w:val="none"/>
                <w:u w:val="none"/>
                <w:lang w:val="en-US" w:eastAsia="zh-CN" w:bidi="ar"/>
              </w:rPr>
              <w:t>老师</w:t>
            </w:r>
            <w:r>
              <w:rPr>
                <w:rFonts w:hint="eastAsia" w:ascii="仿宋_GB2312" w:hAnsi="仿宋_GB2312" w:eastAsia="仿宋_GB2312" w:cs="仿宋_GB2312"/>
                <w:i w:val="0"/>
                <w:iCs w:val="0"/>
                <w:color w:val="auto"/>
                <w:kern w:val="0"/>
                <w:sz w:val="24"/>
                <w:szCs w:val="24"/>
                <w:u w:val="none"/>
                <w:lang w:val="en-US" w:eastAsia="zh-CN" w:bidi="ar"/>
              </w:rPr>
              <w:t>010-55530102</w:t>
            </w:r>
          </w:p>
          <w:p w14:paraId="62EFA60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shiyanan1900@163.com</w:t>
            </w:r>
          </w:p>
        </w:tc>
      </w:tr>
      <w:tr w14:paraId="666C198D">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EF01">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14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11D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u w:val="none"/>
                <w:lang w:val="en-US" w:eastAsia="zh-CN" w:bidi="ar-SA"/>
              </w:rPr>
            </w:pPr>
            <w:r>
              <w:rPr>
                <w:rFonts w:hint="default" w:ascii="仿宋_GB2312" w:hAnsi="仿宋_GB2312" w:eastAsia="仿宋_GB2312" w:cs="仿宋_GB2312"/>
                <w:i w:val="0"/>
                <w:iCs w:val="0"/>
                <w:color w:val="auto"/>
                <w:sz w:val="24"/>
                <w:szCs w:val="24"/>
                <w:u w:val="none"/>
                <w:lang w:val="en-US" w:eastAsia="zh-CN"/>
              </w:rPr>
              <w:t>“文澜智语”语言文字智能体构建场景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CD2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lang w:val="en-US" w:eastAsia="zh-CN" w:bidi="ar-SA"/>
              </w:rPr>
            </w:pPr>
            <w:r>
              <w:rPr>
                <w:rFonts w:hint="eastAsia" w:ascii="仿宋_GB2312" w:hAnsi="仿宋_GB2312" w:eastAsia="仿宋_GB2312" w:cs="仿宋_GB2312"/>
                <w:b w:val="0"/>
                <w:bCs w:val="0"/>
                <w:i w:val="0"/>
                <w:iCs w:val="0"/>
                <w:sz w:val="24"/>
                <w:szCs w:val="24"/>
                <w:lang w:val="en-US" w:eastAsia="zh-CN"/>
              </w:rPr>
              <w:t>市教委</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B1BBC">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sz w:val="24"/>
                <w:szCs w:val="24"/>
                <w:lang w:val="en-US" w:eastAsia="zh-CN"/>
              </w:rPr>
              <w:t>“文澜智语”立足首善定位，以国家通用语言文字规范与北京历史文化底蕴为核心，聚焦全学段学生语言文化素养提升，覆盖口语表达、阅读、书写、文化普及、素养测评全领域，将打造学前大班儿童语言素养“无感式”数据采集分析、“京小壮”课间机器人语言互动模型、京雄学生语言共育三大典型应用，深度赋能学生语言逻辑、表达品质与思维深度培育，打造全国领先的“AI+语言文字”智慧教育场景，助力首都语言文字工作数字化、规范化、智慧化发展。</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6312">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一、背景情况</w:t>
            </w:r>
          </w:p>
          <w:p w14:paraId="3B49C91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b w:val="0"/>
                <w:sz w:val="24"/>
                <w:szCs w:val="24"/>
                <w:lang w:val="en-US" w:eastAsia="zh-CN"/>
              </w:rPr>
            </w:pPr>
            <w:r>
              <w:rPr>
                <w:rFonts w:hint="eastAsia" w:ascii="仿宋_GB2312" w:hAnsi="仿宋_GB2312" w:eastAsia="仿宋_GB2312" w:cs="仿宋_GB2312"/>
                <w:b w:val="0"/>
                <w:sz w:val="24"/>
                <w:szCs w:val="24"/>
                <w:lang w:val="en-US" w:eastAsia="zh-CN"/>
              </w:rPr>
              <w:t>北京市深入贯彻《教育强国建设规划纲要（2024-2035）》，承担教育部教育强国建设综合改革“青少年语言文化素养提升”“‘典耀中华’主题读书行动”“大阅读体系语料库示范库建设”三项语言文字方面的试点任务，亟须以智能化手段推动语言文字工作提质增效，构建普惠便捷的语言社会服务体系。</w:t>
            </w:r>
          </w:p>
          <w:p w14:paraId="4D001144">
            <w:pPr>
              <w:keepNext w:val="0"/>
              <w:keepLines w:val="0"/>
              <w:pageBreakBefore w:val="0"/>
              <w:numPr>
                <w:ilvl w:val="0"/>
                <w:numId w:val="2"/>
              </w:numPr>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拟解决的问题</w:t>
            </w:r>
          </w:p>
          <w:p w14:paraId="636659ED">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1.厘清AI应用伦理边界，化解技术泛化弱化传统文化传承内核的风险。</w:t>
            </w:r>
          </w:p>
          <w:p w14:paraId="57F44050">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b w:val="0"/>
                <w:sz w:val="24"/>
                <w:szCs w:val="24"/>
                <w:lang w:val="en-US" w:eastAsia="zh-CN"/>
              </w:rPr>
            </w:pPr>
            <w:r>
              <w:rPr>
                <w:rFonts w:hint="eastAsia" w:ascii="仿宋_GB2312" w:hAnsi="仿宋_GB2312" w:eastAsia="仿宋_GB2312" w:cs="仿宋_GB2312"/>
                <w:b w:val="0"/>
                <w:sz w:val="24"/>
                <w:szCs w:val="24"/>
                <w:lang w:val="en-US" w:eastAsia="zh-CN"/>
              </w:rPr>
              <w:t>2.</w:t>
            </w:r>
            <w:r>
              <w:rPr>
                <w:rFonts w:hint="eastAsia" w:ascii="仿宋_GB2312" w:hAnsi="仿宋_GB2312" w:eastAsia="仿宋_GB2312" w:cs="仿宋_GB2312"/>
                <w:sz w:val="24"/>
                <w:szCs w:val="24"/>
                <w:lang w:eastAsia="zh-CN"/>
              </w:rPr>
              <w:t>破解学前语言素养缺少科学量化、</w:t>
            </w:r>
            <w:r>
              <w:rPr>
                <w:rFonts w:hint="eastAsia" w:ascii="仿宋_GB2312" w:hAnsi="仿宋_GB2312" w:eastAsia="仿宋_GB2312" w:cs="仿宋_GB2312"/>
                <w:sz w:val="24"/>
                <w:szCs w:val="24"/>
                <w:lang w:val="en-US" w:eastAsia="zh-CN"/>
              </w:rPr>
              <w:t>无感</w:t>
            </w:r>
            <w:r>
              <w:rPr>
                <w:rFonts w:hint="eastAsia" w:ascii="仿宋_GB2312" w:hAnsi="仿宋_GB2312" w:eastAsia="仿宋_GB2312" w:cs="仿宋_GB2312"/>
                <w:sz w:val="24"/>
                <w:szCs w:val="24"/>
                <w:lang w:eastAsia="zh-CN"/>
              </w:rPr>
              <w:t>无负担</w:t>
            </w:r>
            <w:r>
              <w:rPr>
                <w:rFonts w:hint="eastAsia" w:ascii="仿宋_GB2312" w:hAnsi="仿宋_GB2312" w:eastAsia="仿宋_GB2312" w:cs="仿宋_GB2312"/>
                <w:sz w:val="24"/>
                <w:szCs w:val="24"/>
                <w:lang w:val="en-US" w:eastAsia="zh-CN"/>
              </w:rPr>
              <w:t>数据采集和分析</w:t>
            </w:r>
            <w:r>
              <w:rPr>
                <w:rFonts w:hint="eastAsia" w:ascii="仿宋_GB2312" w:hAnsi="仿宋_GB2312" w:eastAsia="仿宋_GB2312" w:cs="仿宋_GB2312"/>
                <w:sz w:val="24"/>
                <w:szCs w:val="24"/>
                <w:lang w:eastAsia="zh-CN"/>
              </w:rPr>
              <w:t>工具的难题。</w:t>
            </w:r>
          </w:p>
          <w:p w14:paraId="70786F5C">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b w:val="0"/>
                <w:sz w:val="24"/>
                <w:szCs w:val="24"/>
                <w:lang w:val="en-US" w:eastAsia="zh-CN"/>
              </w:rPr>
            </w:pPr>
            <w:r>
              <w:rPr>
                <w:rFonts w:hint="eastAsia" w:ascii="仿宋_GB2312" w:hAnsi="仿宋_GB2312" w:eastAsia="仿宋_GB2312" w:cs="仿宋_GB2312"/>
                <w:b w:val="0"/>
                <w:sz w:val="24"/>
                <w:szCs w:val="24"/>
                <w:lang w:val="en-US" w:eastAsia="zh-CN"/>
              </w:rPr>
              <w:t>3.</w:t>
            </w:r>
            <w:r>
              <w:rPr>
                <w:rFonts w:hint="eastAsia" w:ascii="仿宋_GB2312" w:hAnsi="仿宋_GB2312" w:eastAsia="仿宋_GB2312" w:cs="仿宋_GB2312"/>
                <w:sz w:val="24"/>
                <w:szCs w:val="24"/>
                <w:lang w:eastAsia="zh-CN"/>
              </w:rPr>
              <w:t>补齐学生语言高阶思维、表达逻辑、沟通素养智能化培育手段</w:t>
            </w:r>
            <w:r>
              <w:rPr>
                <w:rFonts w:hint="eastAsia" w:ascii="仿宋_GB2312" w:hAnsi="仿宋_GB2312" w:eastAsia="仿宋_GB2312" w:cs="仿宋_GB2312"/>
                <w:sz w:val="24"/>
                <w:szCs w:val="24"/>
                <w:lang w:val="en-US" w:eastAsia="zh-CN"/>
              </w:rPr>
              <w:t>的</w:t>
            </w:r>
            <w:r>
              <w:rPr>
                <w:rFonts w:hint="eastAsia" w:ascii="仿宋_GB2312" w:hAnsi="仿宋_GB2312" w:eastAsia="仿宋_GB2312" w:cs="仿宋_GB2312"/>
                <w:sz w:val="24"/>
                <w:szCs w:val="24"/>
                <w:lang w:eastAsia="zh-CN"/>
              </w:rPr>
              <w:t>空白，形成“测评—提升—反馈—巩固”全链条服务闭环。</w:t>
            </w:r>
          </w:p>
          <w:p w14:paraId="79F84CA7">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b w:val="0"/>
                <w:sz w:val="24"/>
                <w:szCs w:val="24"/>
                <w:lang w:val="en-US" w:eastAsia="zh-CN"/>
              </w:rPr>
              <w:t>4.紧扣京雄同城化战略需求，解决两地学生常态化语言文化共育、交流互动平台缺失的问题。</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21F63">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1.创新</w:t>
            </w:r>
            <w:r>
              <w:rPr>
                <w:rFonts w:hint="eastAsia" w:ascii="仿宋_GB2312" w:hAnsi="仿宋_GB2312" w:eastAsia="仿宋_GB2312" w:cs="仿宋_GB2312"/>
                <w:b/>
                <w:bCs/>
                <w:sz w:val="24"/>
                <w:szCs w:val="24"/>
                <w:lang w:eastAsia="zh-CN"/>
              </w:rPr>
              <w:t>学前大班</w:t>
            </w:r>
            <w:r>
              <w:rPr>
                <w:rFonts w:hint="eastAsia" w:ascii="仿宋_GB2312" w:hAnsi="仿宋_GB2312" w:eastAsia="仿宋_GB2312" w:cs="仿宋_GB2312"/>
                <w:b/>
                <w:bCs/>
                <w:sz w:val="24"/>
                <w:szCs w:val="24"/>
                <w:lang w:val="en-US" w:eastAsia="zh-CN"/>
              </w:rPr>
              <w:t>儿童</w:t>
            </w:r>
            <w:r>
              <w:rPr>
                <w:rFonts w:hint="eastAsia" w:ascii="仿宋_GB2312" w:hAnsi="仿宋_GB2312" w:eastAsia="仿宋_GB2312" w:cs="仿宋_GB2312"/>
                <w:b/>
                <w:bCs/>
                <w:sz w:val="24"/>
                <w:szCs w:val="24"/>
                <w:lang w:eastAsia="zh-CN"/>
              </w:rPr>
              <w:t>语言素养“无感式”</w:t>
            </w:r>
            <w:r>
              <w:rPr>
                <w:rFonts w:hint="eastAsia" w:ascii="仿宋_GB2312" w:hAnsi="仿宋_GB2312" w:eastAsia="仿宋_GB2312" w:cs="仿宋_GB2312"/>
                <w:b/>
                <w:bCs/>
                <w:sz w:val="24"/>
                <w:szCs w:val="24"/>
                <w:lang w:val="en-US" w:eastAsia="zh-CN"/>
              </w:rPr>
              <w:t>数据采集与分析系统</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sz w:val="24"/>
                <w:szCs w:val="24"/>
                <w:lang w:eastAsia="zh-CN"/>
              </w:rPr>
              <w:t>在自然场景</w:t>
            </w:r>
            <w:r>
              <w:rPr>
                <w:rFonts w:hint="eastAsia" w:ascii="仿宋_GB2312" w:hAnsi="仿宋_GB2312" w:eastAsia="仿宋_GB2312" w:cs="仿宋_GB2312"/>
                <w:sz w:val="24"/>
                <w:szCs w:val="24"/>
                <w:lang w:val="en-US" w:eastAsia="zh-CN"/>
              </w:rPr>
              <w:t>中</w:t>
            </w:r>
            <w:r>
              <w:rPr>
                <w:rFonts w:hint="eastAsia" w:ascii="仿宋_GB2312" w:hAnsi="仿宋_GB2312" w:eastAsia="仿宋_GB2312" w:cs="仿宋_GB2312"/>
                <w:sz w:val="24"/>
                <w:szCs w:val="24"/>
                <w:lang w:eastAsia="zh-CN"/>
              </w:rPr>
              <w:t>实现低负担、科学化素养评估。</w:t>
            </w:r>
          </w:p>
          <w:p w14:paraId="537D8CC3">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2.</w:t>
            </w:r>
            <w:r>
              <w:rPr>
                <w:rFonts w:hint="eastAsia" w:ascii="仿宋_GB2312" w:hAnsi="仿宋_GB2312" w:eastAsia="仿宋_GB2312" w:cs="仿宋_GB2312"/>
                <w:b/>
                <w:bCs/>
                <w:sz w:val="24"/>
                <w:szCs w:val="24"/>
                <w:lang w:eastAsia="zh-CN"/>
              </w:rPr>
              <w:t>以AI赋能实现育人模式升级，</w:t>
            </w:r>
            <w:r>
              <w:rPr>
                <w:rFonts w:hint="eastAsia" w:ascii="仿宋_GB2312" w:hAnsi="仿宋_GB2312" w:eastAsia="仿宋_GB2312" w:cs="仿宋_GB2312"/>
                <w:sz w:val="24"/>
                <w:szCs w:val="24"/>
                <w:lang w:eastAsia="zh-CN"/>
              </w:rPr>
              <w:t>升级课间机器人具身智能互动，把语言训练转为游戏化沉浸式学习，</w:t>
            </w:r>
            <w:r>
              <w:rPr>
                <w:rFonts w:hint="eastAsia" w:ascii="仿宋_GB2312" w:hAnsi="仿宋_GB2312" w:eastAsia="仿宋_GB2312" w:cs="仿宋_GB2312"/>
                <w:sz w:val="24"/>
                <w:szCs w:val="24"/>
                <w:lang w:val="en-US" w:eastAsia="zh-CN"/>
              </w:rPr>
              <w:t>探索新形势的</w:t>
            </w:r>
            <w:r>
              <w:rPr>
                <w:rFonts w:hint="eastAsia" w:ascii="仿宋_GB2312" w:hAnsi="仿宋_GB2312" w:eastAsia="仿宋_GB2312" w:cs="仿宋_GB2312"/>
                <w:sz w:val="24"/>
                <w:szCs w:val="24"/>
                <w:lang w:eastAsia="zh-CN"/>
              </w:rPr>
              <w:t>文化感悟与</w:t>
            </w:r>
            <w:r>
              <w:rPr>
                <w:rFonts w:hint="eastAsia" w:ascii="仿宋_GB2312" w:hAnsi="仿宋_GB2312" w:eastAsia="仿宋_GB2312" w:cs="仿宋_GB2312"/>
                <w:sz w:val="24"/>
                <w:szCs w:val="24"/>
                <w:lang w:val="en-US" w:eastAsia="zh-CN"/>
              </w:rPr>
              <w:t>语言</w:t>
            </w:r>
            <w:r>
              <w:rPr>
                <w:rFonts w:hint="eastAsia" w:ascii="仿宋_GB2312" w:hAnsi="仿宋_GB2312" w:eastAsia="仿宋_GB2312" w:cs="仿宋_GB2312"/>
                <w:sz w:val="24"/>
                <w:szCs w:val="24"/>
                <w:lang w:eastAsia="zh-CN"/>
              </w:rPr>
              <w:t>素养涵养</w:t>
            </w:r>
            <w:r>
              <w:rPr>
                <w:rFonts w:hint="eastAsia" w:ascii="仿宋_GB2312" w:hAnsi="仿宋_GB2312" w:eastAsia="仿宋_GB2312" w:cs="仿宋_GB2312"/>
                <w:sz w:val="24"/>
                <w:szCs w:val="24"/>
                <w:lang w:val="en-US" w:eastAsia="zh-CN"/>
              </w:rPr>
              <w:t>方式</w:t>
            </w:r>
            <w:r>
              <w:rPr>
                <w:rFonts w:hint="eastAsia" w:ascii="仿宋_GB2312" w:hAnsi="仿宋_GB2312" w:eastAsia="仿宋_GB2312" w:cs="仿宋_GB2312"/>
                <w:sz w:val="24"/>
                <w:szCs w:val="24"/>
                <w:lang w:eastAsia="zh-CN"/>
              </w:rPr>
              <w:t>。</w:t>
            </w:r>
          </w:p>
          <w:p w14:paraId="6710B91B">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b/>
                <w:bCs/>
                <w:sz w:val="24"/>
                <w:szCs w:val="24"/>
                <w:lang w:val="en-US" w:eastAsia="zh-CN"/>
              </w:rPr>
              <w:t>3.推动京雄同城化教育协同发展，</w:t>
            </w:r>
            <w:r>
              <w:rPr>
                <w:rFonts w:hint="eastAsia" w:ascii="仿宋_GB2312" w:hAnsi="仿宋_GB2312" w:eastAsia="仿宋_GB2312" w:cs="仿宋_GB2312"/>
                <w:b w:val="0"/>
                <w:bCs w:val="0"/>
                <w:sz w:val="24"/>
                <w:szCs w:val="24"/>
                <w:lang w:eastAsia="zh-CN"/>
              </w:rPr>
              <w:t>搭建京雄课后语言共育平台，</w:t>
            </w:r>
            <w:r>
              <w:rPr>
                <w:rFonts w:hint="eastAsia" w:ascii="仿宋_GB2312" w:hAnsi="仿宋_GB2312" w:eastAsia="仿宋_GB2312" w:cs="仿宋_GB2312"/>
                <w:b w:val="0"/>
                <w:bCs w:val="0"/>
                <w:sz w:val="24"/>
                <w:szCs w:val="24"/>
                <w:lang w:val="en-US" w:eastAsia="zh-CN"/>
              </w:rPr>
              <w:t>实现</w:t>
            </w:r>
            <w:r>
              <w:rPr>
                <w:rFonts w:hint="eastAsia" w:ascii="仿宋_GB2312" w:hAnsi="仿宋_GB2312" w:eastAsia="仿宋_GB2312" w:cs="仿宋_GB2312"/>
                <w:b w:val="0"/>
                <w:bCs w:val="0"/>
                <w:sz w:val="24"/>
                <w:szCs w:val="24"/>
                <w:lang w:eastAsia="zh-CN"/>
              </w:rPr>
              <w:t>以演讲辩论、书</w:t>
            </w:r>
            <w:r>
              <w:rPr>
                <w:rFonts w:hint="eastAsia" w:ascii="仿宋_GB2312" w:hAnsi="仿宋_GB2312" w:eastAsia="仿宋_GB2312" w:cs="仿宋_GB2312"/>
                <w:sz w:val="24"/>
                <w:szCs w:val="24"/>
                <w:lang w:eastAsia="zh-CN"/>
              </w:rPr>
              <w:t>信</w:t>
            </w:r>
            <w:r>
              <w:rPr>
                <w:rFonts w:hint="eastAsia" w:ascii="仿宋_GB2312" w:hAnsi="仿宋_GB2312" w:eastAsia="仿宋_GB2312" w:cs="仿宋_GB2312"/>
                <w:sz w:val="24"/>
                <w:szCs w:val="24"/>
                <w:lang w:val="en-US" w:eastAsia="zh-CN"/>
              </w:rPr>
              <w:t>阅读</w:t>
            </w:r>
            <w:r>
              <w:rPr>
                <w:rFonts w:hint="eastAsia" w:ascii="仿宋_GB2312" w:hAnsi="仿宋_GB2312" w:eastAsia="仿宋_GB2312" w:cs="仿宋_GB2312"/>
                <w:sz w:val="24"/>
                <w:szCs w:val="24"/>
                <w:lang w:eastAsia="zh-CN"/>
              </w:rPr>
              <w:t>等形式常态化结对交流。</w:t>
            </w:r>
          </w:p>
          <w:p w14:paraId="3D982B61">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jc w:val="both"/>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sz w:val="24"/>
                <w:szCs w:val="24"/>
                <w:lang w:val="en-US" w:eastAsia="zh-CN"/>
              </w:rPr>
              <w:t>4.以真实应用拉动</w:t>
            </w:r>
            <w:r>
              <w:rPr>
                <w:rFonts w:hint="eastAsia" w:ascii="仿宋_GB2312" w:hAnsi="仿宋_GB2312" w:eastAsia="仿宋_GB2312" w:cs="仿宋_GB2312"/>
                <w:b/>
                <w:bCs/>
                <w:sz w:val="24"/>
                <w:szCs w:val="24"/>
                <w:lang w:eastAsia="zh-CN"/>
              </w:rPr>
              <w:t>理念伦理创新</w:t>
            </w:r>
            <w:r>
              <w:rPr>
                <w:rFonts w:hint="eastAsia" w:ascii="仿宋_GB2312" w:hAnsi="仿宋_GB2312" w:eastAsia="仿宋_GB2312" w:cs="仿宋_GB2312"/>
                <w:b/>
                <w:bCs/>
                <w:sz w:val="24"/>
                <w:szCs w:val="24"/>
                <w:lang w:val="en-US" w:eastAsia="zh-CN"/>
              </w:rPr>
              <w:t>与语料库供给优化</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val="0"/>
                <w:sz w:val="24"/>
                <w:szCs w:val="24"/>
                <w:lang w:val="en-US" w:eastAsia="zh-CN"/>
              </w:rPr>
              <w:t>守住AI伦理边界，建设权威、规范、动态更新的北京语言文字资源数据库。</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5D9B">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单</w:t>
            </w:r>
            <w:r>
              <w:rPr>
                <w:rFonts w:hint="eastAsia" w:ascii="仿宋_GB2312" w:hAnsi="宋体" w:eastAsia="仿宋_GB2312" w:cs="仿宋_GB2312"/>
                <w:i w:val="0"/>
                <w:iCs w:val="0"/>
                <w:color w:val="auto"/>
                <w:kern w:val="0"/>
                <w:sz w:val="24"/>
                <w:szCs w:val="24"/>
                <w:highlight w:val="none"/>
                <w:u w:val="none"/>
                <w:lang w:val="en-US" w:eastAsia="zh-CN" w:bidi="ar"/>
              </w:rPr>
              <w:t>老师</w:t>
            </w:r>
            <w:r>
              <w:rPr>
                <w:rFonts w:hint="eastAsia" w:ascii="仿宋_GB2312" w:hAnsi="仿宋_GB2312" w:eastAsia="仿宋_GB2312" w:cs="仿宋_GB2312"/>
                <w:i w:val="0"/>
                <w:iCs w:val="0"/>
                <w:color w:val="auto"/>
                <w:kern w:val="0"/>
                <w:sz w:val="24"/>
                <w:szCs w:val="24"/>
                <w:u w:val="none"/>
                <w:lang w:val="en-US" w:eastAsia="zh-CN" w:bidi="ar"/>
              </w:rPr>
              <w:t>010-55530251</w:t>
            </w:r>
          </w:p>
          <w:p w14:paraId="5BF1A1C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sc@jw.beijing.gov.cn</w:t>
            </w:r>
          </w:p>
        </w:tc>
      </w:tr>
      <w:tr w14:paraId="5A68F888">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9578">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15</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67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aps w:val="0"/>
                <w:color w:val="0F1115"/>
                <w:spacing w:val="0"/>
                <w:kern w:val="0"/>
                <w:sz w:val="24"/>
                <w:szCs w:val="24"/>
                <w:lang w:val="en-US" w:eastAsia="zh-CN" w:bidi="ar"/>
              </w:rPr>
              <w:t>基于边缘AI与云边协同的社区电瓶车安全管控场景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3803">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val="0"/>
                <w:bCs w:val="0"/>
                <w:i w:val="0"/>
                <w:iCs w:val="0"/>
                <w:kern w:val="2"/>
                <w:sz w:val="24"/>
                <w:szCs w:val="24"/>
                <w:lang w:val="en-US" w:eastAsia="zh-CN" w:bidi="ar-SA"/>
              </w:rPr>
              <w:t>北京经济管理职业学院</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A73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i w:val="0"/>
                <w:iCs w:val="0"/>
                <w:caps w:val="0"/>
                <w:color w:val="0F1115"/>
                <w:spacing w:val="0"/>
                <w:kern w:val="0"/>
                <w:sz w:val="24"/>
                <w:szCs w:val="24"/>
                <w:lang w:val="en-US" w:eastAsia="zh-CN" w:bidi="ar"/>
              </w:rPr>
              <w:t>围绕社区电瓶车违规进入户及电瓶拆卸携带引发的严重消防安全隐患，通过部署“端-边-云”协同的软硬件一体化系统，利用多模态融合感知与轻量化AI模型，在电梯、车棚等关键区域实现电瓶车、电瓶拆卸、分离电瓶携带等行为精准识别，并联动本地声光告警、电梯控制、平台推送和工单处置，提升社区消防安全风险前端发现和闭环治理能力。</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CE38">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场景现状</w:t>
            </w:r>
          </w:p>
          <w:p w14:paraId="60C423F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国家消防救援局数据显示，2023年全国电动自行车火灾达2.1万起，80%发生在充电时段，违规充电行为带来较大消防安全隐患。</w:t>
            </w:r>
          </w:p>
          <w:p w14:paraId="5009142F">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拟解决的问题</w:t>
            </w:r>
          </w:p>
          <w:p w14:paraId="16AA1113">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1.高风险行为识别盲区，</w:t>
            </w:r>
            <w:r>
              <w:rPr>
                <w:rFonts w:hint="eastAsia" w:ascii="仿宋_GB2312" w:hAnsi="仿宋_GB2312" w:eastAsia="仿宋_GB2312" w:cs="仿宋_GB2312"/>
                <w:i w:val="0"/>
                <w:iCs w:val="0"/>
                <w:caps w:val="0"/>
                <w:color w:val="0F1115"/>
                <w:spacing w:val="0"/>
                <w:kern w:val="0"/>
                <w:sz w:val="24"/>
                <w:szCs w:val="24"/>
                <w:lang w:val="en-US" w:eastAsia="zh-CN" w:bidi="ar"/>
              </w:rPr>
              <w:t>传统监测方式难以准确识别分离电瓶、电瓶拆卸等行为，存在消防安全管控漏洞。</w:t>
            </w:r>
          </w:p>
          <w:p w14:paraId="57ADA6B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2.复杂场景误报漏报，</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红外/重力感应误报率超30%，</w:t>
            </w:r>
            <w:r>
              <w:rPr>
                <w:rFonts w:hint="eastAsia" w:ascii="仿宋_GB2312" w:hAnsi="仿宋_GB2312" w:eastAsia="仿宋_GB2312" w:cs="仿宋_GB2312"/>
                <w:i w:val="0"/>
                <w:iCs w:val="0"/>
                <w:caps w:val="0"/>
                <w:color w:val="0F1115"/>
                <w:spacing w:val="0"/>
                <w:kern w:val="0"/>
                <w:sz w:val="24"/>
                <w:szCs w:val="24"/>
                <w:lang w:val="en-US" w:eastAsia="zh-CN" w:bidi="ar"/>
              </w:rPr>
              <w:t>日均误报数十次。</w:t>
            </w:r>
          </w:p>
          <w:p w14:paraId="15C18D0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bCs/>
                <w:i w:val="0"/>
                <w:iCs w:val="0"/>
                <w:caps w:val="0"/>
                <w:color w:val="0F1115"/>
                <w:spacing w:val="0"/>
                <w:kern w:val="0"/>
                <w:sz w:val="24"/>
                <w:szCs w:val="24"/>
                <w:lang w:val="en-US" w:eastAsia="zh-CN" w:bidi="ar"/>
              </w:rPr>
              <w:t>3.多点数据协同不足，</w:t>
            </w:r>
            <w:r>
              <w:rPr>
                <w:rFonts w:hint="eastAsia" w:ascii="仿宋_GB2312" w:hAnsi="仿宋_GB2312" w:eastAsia="仿宋_GB2312" w:cs="仿宋_GB2312"/>
                <w:i w:val="0"/>
                <w:iCs w:val="0"/>
                <w:caps w:val="0"/>
                <w:color w:val="0F1115"/>
                <w:spacing w:val="0"/>
                <w:kern w:val="0"/>
                <w:sz w:val="24"/>
                <w:szCs w:val="24"/>
                <w:lang w:val="en-US" w:eastAsia="zh-CN" w:bidi="ar"/>
              </w:rPr>
              <w:t>车棚、单元门口、电梯等关键区域数据未有效贯通，源头发现、终端拦截和社区处置联动不足。</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AB8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1.创新隐蔽风险识别与端侧实时响应能力。</w:t>
            </w:r>
            <w:r>
              <w:rPr>
                <w:rFonts w:hint="eastAsia" w:ascii="仿宋_GB2312" w:hAnsi="仿宋_GB2312" w:eastAsia="仿宋_GB2312" w:cs="仿宋_GB2312"/>
                <w:i w:val="0"/>
                <w:iCs w:val="0"/>
                <w:caps w:val="0"/>
                <w:color w:val="0F1115"/>
                <w:spacing w:val="0"/>
                <w:kern w:val="0"/>
                <w:sz w:val="24"/>
                <w:szCs w:val="24"/>
                <w:lang w:val="en-US" w:eastAsia="zh-CN" w:bidi="ar"/>
              </w:rPr>
              <w:t>面向裸露电瓶、包装电瓶等隐蔽高风险行为，建设涵盖数万张图片的“电瓶车-电瓶拆卸”专项数据集，首创基于时序行为分析的电瓶拆卸检测算法，实现端到端延迟降低至1.2秒，突破传统电瓶车识别仅能判断整车进梯的局限。</w:t>
            </w:r>
          </w:p>
          <w:p w14:paraId="47557B1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bCs/>
                <w:kern w:val="2"/>
                <w:sz w:val="24"/>
                <w:szCs w:val="24"/>
                <w:lang w:val="en-US" w:eastAsia="zh-CN" w:bidi="ar-SA"/>
              </w:rPr>
            </w:pPr>
            <w:r>
              <w:rPr>
                <w:rFonts w:hint="eastAsia" w:ascii="仿宋_GB2312" w:hAnsi="仿宋_GB2312" w:eastAsia="仿宋_GB2312" w:cs="仿宋_GB2312"/>
                <w:b/>
                <w:bCs/>
                <w:i w:val="0"/>
                <w:iCs w:val="0"/>
                <w:caps w:val="0"/>
                <w:color w:val="0F1115"/>
                <w:spacing w:val="0"/>
                <w:kern w:val="0"/>
                <w:sz w:val="24"/>
                <w:szCs w:val="24"/>
                <w:lang w:val="en-US" w:eastAsia="zh-CN" w:bidi="ar"/>
              </w:rPr>
              <w:t>2.创新“源头检测+终端拦截”联动。</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打通车棚、电梯、单元门口等关键区域感知数据，形成“识别-预警-工单-处置”闭环，推动电瓶车安全管理由单点报警向跨场景联防转变。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BC2F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default"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董老师</w:t>
            </w:r>
          </w:p>
          <w:p w14:paraId="6D120959">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sz w:val="24"/>
                <w:szCs w:val="24"/>
                <w:lang w:val="en-US" w:eastAsia="zh-CN"/>
              </w:rPr>
              <w:t>18513814864</w:t>
            </w:r>
          </w:p>
        </w:tc>
      </w:tr>
      <w:tr w14:paraId="3EDE4094">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50A4">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16</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D7F1">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val="0"/>
                <w:bCs w:val="0"/>
                <w:i w:val="0"/>
                <w:iCs w:val="0"/>
                <w:kern w:val="2"/>
                <w:sz w:val="24"/>
                <w:szCs w:val="24"/>
                <w:lang w:val="en-US" w:eastAsia="zh-CN" w:bidi="ar-SA"/>
              </w:rPr>
              <w:t>具身机器人药房柔性分拣产教融合应用场景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A90F">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val="0"/>
                <w:bCs w:val="0"/>
                <w:i w:val="0"/>
                <w:iCs w:val="0"/>
                <w:kern w:val="2"/>
                <w:sz w:val="24"/>
                <w:szCs w:val="24"/>
                <w:lang w:val="en-US" w:eastAsia="zh-CN" w:bidi="ar-SA"/>
              </w:rPr>
              <w:t>北京经济管理职业学院</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87E9">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both"/>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val="0"/>
                <w:bCs w:val="0"/>
                <w:i w:val="0"/>
                <w:iCs w:val="0"/>
                <w:kern w:val="2"/>
                <w:sz w:val="24"/>
                <w:szCs w:val="24"/>
                <w:lang w:val="en-US" w:eastAsia="zh-CN" w:bidi="ar-SA"/>
              </w:rPr>
              <w:t>围绕人工取药慢、错发率高、搬运强度大、药品追溯难度高等行业痛点，融合AI高精度视觉识别、柔性机械臂抓取、AGV自主导航、多机协同调度等技术，打造覆盖药品入库识别、自动上架、拣选搬运、出库复核等功能的药房智能分拣服务体系，实现药房分拣与搬运全流程无人化，支撑药房运营提效、具身智能技术验证和高校智能装备类专业实训教学。</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6E7C">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auto"/>
              <w:rPr>
                <w:rFonts w:hint="eastAsia" w:ascii="仿宋_GB2312" w:hAnsi="仿宋_GB2312" w:eastAsia="仿宋_GB2312" w:cs="仿宋_GB2312"/>
                <w:b/>
                <w:bCs/>
                <w:i w:val="0"/>
                <w:iCs w:val="0"/>
                <w:kern w:val="2"/>
                <w:sz w:val="24"/>
                <w:szCs w:val="24"/>
                <w:lang w:val="en-US" w:eastAsia="zh-CN" w:bidi="ar-SA"/>
              </w:rPr>
            </w:pPr>
            <w:r>
              <w:rPr>
                <w:rFonts w:hint="eastAsia" w:ascii="仿宋_GB2312" w:hAnsi="仿宋_GB2312" w:eastAsia="仿宋_GB2312" w:cs="仿宋_GB2312"/>
                <w:b/>
                <w:bCs/>
                <w:i w:val="0"/>
                <w:iCs w:val="0"/>
                <w:kern w:val="2"/>
                <w:sz w:val="24"/>
                <w:szCs w:val="24"/>
                <w:lang w:val="en-US" w:eastAsia="zh-CN" w:bidi="ar-SA"/>
              </w:rPr>
              <w:t>一、背景情况</w:t>
            </w:r>
          </w:p>
          <w:p w14:paraId="6A67D808">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both"/>
              <w:textAlignment w:val="auto"/>
              <w:rPr>
                <w:rFonts w:hint="default"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val="0"/>
                <w:bCs w:val="0"/>
                <w:i w:val="0"/>
                <w:iCs w:val="0"/>
                <w:kern w:val="2"/>
                <w:sz w:val="24"/>
                <w:szCs w:val="24"/>
                <w:lang w:val="en-US" w:eastAsia="zh-CN" w:bidi="ar-SA"/>
              </w:rPr>
              <w:t>随着智慧医疗和“数智北京”建设推进，医药流通领域自动化、智能化需求迫切。高校机器人工程、自动化等专业实践教学缺少符合真实业务痛点的场景载体，难以支撑学生开展面向产业应用的工程实践。</w:t>
            </w:r>
          </w:p>
          <w:p w14:paraId="0AAB85FA">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both"/>
              <w:textAlignment w:val="auto"/>
              <w:rPr>
                <w:rFonts w:hint="eastAsia" w:ascii="仿宋_GB2312" w:hAnsi="仿宋_GB2312" w:eastAsia="仿宋_GB2312" w:cs="仿宋_GB2312"/>
                <w:b/>
                <w:bCs/>
                <w:i w:val="0"/>
                <w:iCs w:val="0"/>
                <w:kern w:val="2"/>
                <w:sz w:val="24"/>
                <w:szCs w:val="24"/>
                <w:lang w:val="en-US" w:eastAsia="zh-CN" w:bidi="ar-SA"/>
              </w:rPr>
            </w:pPr>
            <w:r>
              <w:rPr>
                <w:rFonts w:hint="eastAsia" w:ascii="仿宋_GB2312" w:hAnsi="仿宋_GB2312" w:eastAsia="仿宋_GB2312" w:cs="仿宋_GB2312"/>
                <w:b/>
                <w:bCs/>
                <w:i w:val="0"/>
                <w:iCs w:val="0"/>
                <w:kern w:val="2"/>
                <w:sz w:val="24"/>
                <w:szCs w:val="24"/>
                <w:lang w:val="en-US" w:eastAsia="zh-CN" w:bidi="ar-SA"/>
              </w:rPr>
              <w:t>二、拟解决的问题</w:t>
            </w:r>
          </w:p>
          <w:p w14:paraId="73B4F8EB">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val="0"/>
                <w:bCs w:val="0"/>
                <w:i w:val="0"/>
                <w:iCs w:val="0"/>
                <w:kern w:val="2"/>
                <w:sz w:val="24"/>
                <w:szCs w:val="24"/>
                <w:lang w:val="en-US" w:eastAsia="zh-CN" w:bidi="ar-SA"/>
              </w:rPr>
              <w:t>1.解决药房人工取药分拣效率低、发药差错风险高、搬运强度大等问题。</w:t>
            </w:r>
          </w:p>
          <w:p w14:paraId="03C1BF24">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val="0"/>
                <w:bCs w:val="0"/>
                <w:i w:val="0"/>
                <w:iCs w:val="0"/>
                <w:kern w:val="2"/>
                <w:sz w:val="24"/>
                <w:szCs w:val="24"/>
                <w:lang w:val="en-US" w:eastAsia="zh-CN" w:bidi="ar-SA"/>
              </w:rPr>
              <w:t>2.解决药品入库、上架、拣选、搬运、出库等全流程追溯困难的问题。</w:t>
            </w:r>
          </w:p>
          <w:p w14:paraId="4179D01C">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both"/>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val="0"/>
                <w:bCs w:val="0"/>
                <w:i w:val="0"/>
                <w:iCs w:val="0"/>
                <w:kern w:val="2"/>
                <w:sz w:val="24"/>
                <w:szCs w:val="24"/>
                <w:lang w:val="en-US" w:eastAsia="zh-CN" w:bidi="ar-SA"/>
              </w:rPr>
              <w:t>3.解决高校智能装备教学中缺乏真实工业场景与数据支撑的问题。</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11CD">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bCs/>
                <w:i w:val="0"/>
                <w:iCs w:val="0"/>
                <w:kern w:val="2"/>
                <w:sz w:val="24"/>
                <w:szCs w:val="24"/>
                <w:lang w:val="en-US" w:eastAsia="zh-CN" w:bidi="ar-SA"/>
              </w:rPr>
              <w:t>1.构建具身智能药房分拣一体化无人作业。</w:t>
            </w:r>
            <w:r>
              <w:rPr>
                <w:rFonts w:hint="eastAsia" w:ascii="仿宋_GB2312" w:hAnsi="仿宋_GB2312" w:eastAsia="仿宋_GB2312" w:cs="仿宋_GB2312"/>
                <w:b w:val="0"/>
                <w:bCs w:val="0"/>
                <w:i w:val="0"/>
                <w:iCs w:val="0"/>
                <w:kern w:val="2"/>
                <w:sz w:val="24"/>
                <w:szCs w:val="24"/>
                <w:lang w:val="en-US" w:eastAsia="zh-CN" w:bidi="ar-SA"/>
              </w:rPr>
              <w:t>融合AI视觉识别、柔性抓取、AGV自主导航、多机协同调度等技术，实现药品识别、拣选、搬运、复核、追溯等全流程无人化运行。</w:t>
            </w:r>
          </w:p>
          <w:p w14:paraId="32C600C7">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jc w:val="both"/>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bCs/>
                <w:i w:val="0"/>
                <w:iCs w:val="0"/>
                <w:kern w:val="2"/>
                <w:sz w:val="24"/>
                <w:szCs w:val="24"/>
                <w:lang w:val="en-US" w:eastAsia="zh-CN" w:bidi="ar-SA"/>
              </w:rPr>
              <w:t>2.提升复杂药品场景下智能识别与柔性作业能力。</w:t>
            </w:r>
            <w:r>
              <w:rPr>
                <w:rFonts w:hint="eastAsia" w:ascii="仿宋_GB2312" w:hAnsi="仿宋_GB2312" w:eastAsia="仿宋_GB2312" w:cs="仿宋_GB2312"/>
                <w:b w:val="0"/>
                <w:bCs w:val="0"/>
                <w:i w:val="0"/>
                <w:iCs w:val="0"/>
                <w:kern w:val="2"/>
                <w:sz w:val="24"/>
                <w:szCs w:val="24"/>
                <w:lang w:val="en-US" w:eastAsia="zh-CN" w:bidi="ar-SA"/>
              </w:rPr>
              <w:t>面向药品包装相似、规格多样、摆放复杂等情况，构建药品视觉识别模型及多模态数据集，实现不同形态药品精准识别、定位、抓取和复核。</w:t>
            </w:r>
          </w:p>
          <w:p w14:paraId="3DC8A09D">
            <w:pPr>
              <w:pStyle w:val="48"/>
              <w:keepNext w:val="0"/>
              <w:keepLines w:val="0"/>
              <w:pageBreakBefore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rightChars="0" w:firstLine="0" w:firstLineChars="0"/>
              <w:jc w:val="both"/>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kern w:val="2"/>
                <w:sz w:val="24"/>
                <w:szCs w:val="24"/>
                <w:lang w:val="en-US" w:eastAsia="zh-CN" w:bidi="ar-SA"/>
              </w:rPr>
              <w:t>3.探索“医疗场景+具身智能+高校教学”产教融合应用模式</w:t>
            </w:r>
            <w:r>
              <w:rPr>
                <w:rFonts w:hint="eastAsia" w:ascii="仿宋_GB2312" w:hAnsi="仿宋_GB2312" w:eastAsia="仿宋_GB2312" w:cs="仿宋_GB2312"/>
                <w:b w:val="0"/>
                <w:bCs w:val="0"/>
                <w:i w:val="0"/>
                <w:iCs w:val="0"/>
                <w:kern w:val="2"/>
                <w:sz w:val="24"/>
                <w:szCs w:val="24"/>
                <w:lang w:val="en-US" w:eastAsia="zh-CN" w:bidi="ar-SA"/>
              </w:rPr>
              <w:t>。实现药房自动化运营与高校实践教学深度融合，推动技术验证、场景应用和人才培养协同提升。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F7A8">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val="0"/>
                <w:bCs w:val="0"/>
                <w:i w:val="0"/>
                <w:iCs w:val="0"/>
                <w:kern w:val="2"/>
                <w:sz w:val="24"/>
                <w:szCs w:val="24"/>
                <w:lang w:val="en-US" w:eastAsia="zh-CN" w:bidi="ar-SA"/>
              </w:rPr>
              <w:t>姜</w:t>
            </w:r>
            <w:r>
              <w:rPr>
                <w:rFonts w:hint="eastAsia" w:ascii="仿宋_GB2312" w:hAnsi="仿宋_GB2312" w:eastAsia="仿宋_GB2312" w:cs="仿宋_GB2312"/>
                <w:i w:val="0"/>
                <w:iCs w:val="0"/>
                <w:caps w:val="0"/>
                <w:color w:val="0F1115"/>
                <w:spacing w:val="0"/>
                <w:kern w:val="0"/>
                <w:sz w:val="24"/>
                <w:szCs w:val="24"/>
                <w:lang w:val="en-US" w:eastAsia="zh-CN" w:bidi="ar"/>
              </w:rPr>
              <w:t>老师</w:t>
            </w:r>
          </w:p>
          <w:p w14:paraId="1A51018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default" w:ascii="仿宋_GB2312" w:hAnsi="仿宋_GB2312" w:eastAsia="仿宋_GB2312" w:cs="仿宋_GB2312"/>
                <w:b w:val="0"/>
                <w:bCs w:val="0"/>
                <w:i w:val="0"/>
                <w:iCs w:val="0"/>
                <w:kern w:val="2"/>
                <w:sz w:val="24"/>
                <w:szCs w:val="24"/>
                <w:lang w:val="en-US" w:eastAsia="zh-CN" w:bidi="ar-SA"/>
              </w:rPr>
            </w:pPr>
            <w:r>
              <w:rPr>
                <w:rFonts w:hint="default" w:ascii="仿宋_GB2312" w:hAnsi="仿宋_GB2312" w:eastAsia="仿宋_GB2312" w:cs="仿宋_GB2312"/>
                <w:b w:val="0"/>
                <w:bCs w:val="0"/>
                <w:i w:val="0"/>
                <w:iCs w:val="0"/>
                <w:kern w:val="2"/>
                <w:sz w:val="24"/>
                <w:szCs w:val="24"/>
                <w:lang w:val="en-US" w:eastAsia="zh-CN" w:bidi="ar-SA"/>
              </w:rPr>
              <w:t>19910786967</w:t>
            </w:r>
          </w:p>
          <w:p w14:paraId="71434823">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val="0"/>
                <w:bCs w:val="0"/>
                <w:i w:val="0"/>
                <w:iCs w:val="0"/>
                <w:kern w:val="2"/>
                <w:sz w:val="24"/>
                <w:szCs w:val="24"/>
                <w:lang w:val="en-US" w:eastAsia="zh-CN" w:bidi="ar-SA"/>
              </w:rPr>
              <w:t>Jiunjiang@biem.edu.cn</w:t>
            </w:r>
          </w:p>
        </w:tc>
      </w:tr>
      <w:tr w14:paraId="05442B4B">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3F6C">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17</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FAD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飞书AI办公赋能高校教学科研协同创新场景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AA6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北京经济管理职业学院</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ABE2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依托飞书原生的协同能力，打通高校教学、教研、科研、成果管理四类业务流程，形成覆盖教学备课、课堂互动、教研交流、科研协作、成果沉淀的一体化教研空间，推动教研资料集中管理、科研项目跨校协同、成果过程动态跟踪和知识资产智能复用，提升高校教学科研组织效率、协作水平和成果管理能力。</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81FE">
            <w:pPr>
              <w:keepNext w:val="0"/>
              <w:keepLines w:val="0"/>
              <w:pageBreakBefore w:val="0"/>
              <w:widowControl/>
              <w:numPr>
                <w:ilvl w:val="0"/>
                <w:numId w:val="4"/>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背景情况</w:t>
            </w:r>
          </w:p>
          <w:p w14:paraId="35584A4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当前高校教学科研协作较为分散，资料共享不便，AI工具应用碎片化，教研过程沉淀不足，跨学院、跨团队、跨校协同成本较高，难以支撑教学质量提升和科研项目高效组织。</w:t>
            </w:r>
          </w:p>
          <w:p w14:paraId="3ECEBECE">
            <w:pPr>
              <w:keepNext w:val="0"/>
              <w:keepLines w:val="0"/>
              <w:pageBreakBefore w:val="0"/>
              <w:widowControl/>
              <w:numPr>
                <w:ilvl w:val="0"/>
                <w:numId w:val="4"/>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拟解决的问题</w:t>
            </w:r>
          </w:p>
          <w:p w14:paraId="1DAEEF5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1.教研资料分散化，</w:t>
            </w:r>
            <w:r>
              <w:rPr>
                <w:rFonts w:hint="eastAsia" w:ascii="仿宋_GB2312" w:hAnsi="仿宋_GB2312" w:eastAsia="仿宋_GB2312" w:cs="仿宋_GB2312"/>
                <w:i w:val="0"/>
                <w:iCs w:val="0"/>
                <w:caps w:val="0"/>
                <w:color w:val="0F1115"/>
                <w:spacing w:val="0"/>
                <w:kern w:val="0"/>
                <w:sz w:val="24"/>
                <w:szCs w:val="24"/>
                <w:lang w:val="en-US" w:eastAsia="zh-CN" w:bidi="ar"/>
              </w:rPr>
              <w:t>难以统一管理、快速检索和高效复用。​</w:t>
            </w:r>
          </w:p>
          <w:p w14:paraId="52CE168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2.AI应用碎片化，</w:t>
            </w:r>
            <w:r>
              <w:rPr>
                <w:rFonts w:hint="eastAsia" w:ascii="仿宋_GB2312" w:hAnsi="仿宋_GB2312" w:eastAsia="仿宋_GB2312" w:cs="仿宋_GB2312"/>
                <w:i w:val="0"/>
                <w:iCs w:val="0"/>
                <w:caps w:val="0"/>
                <w:color w:val="0F1115"/>
                <w:spacing w:val="0"/>
                <w:kern w:val="0"/>
                <w:sz w:val="24"/>
                <w:szCs w:val="24"/>
                <w:lang w:val="en-US" w:eastAsia="zh-CN" w:bidi="ar"/>
              </w:rPr>
              <w:t>AI工具尚未深度嵌入备课、课堂分析、教研交流、科研协作和成果管理全过程。​</w:t>
            </w:r>
          </w:p>
          <w:p w14:paraId="651F327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3.跨校协作低效化，</w:t>
            </w:r>
            <w:r>
              <w:rPr>
                <w:rFonts w:hint="eastAsia" w:ascii="仿宋_GB2312" w:hAnsi="仿宋_GB2312" w:eastAsia="仿宋_GB2312" w:cs="仿宋_GB2312"/>
                <w:i w:val="0"/>
                <w:iCs w:val="0"/>
                <w:caps w:val="0"/>
                <w:color w:val="0F1115"/>
                <w:spacing w:val="0"/>
                <w:kern w:val="0"/>
                <w:sz w:val="24"/>
                <w:szCs w:val="24"/>
                <w:lang w:val="en-US" w:eastAsia="zh-CN" w:bidi="ar"/>
              </w:rPr>
              <w:t>跨学院、跨团队、跨学校科研协作中资料共享、任务分工、进度跟踪成本较高。​</w:t>
            </w:r>
          </w:p>
          <w:p w14:paraId="3D4A0E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4.知识沉淀薄弱化，</w:t>
            </w:r>
            <w:r>
              <w:rPr>
                <w:rFonts w:hint="eastAsia" w:ascii="仿宋_GB2312" w:hAnsi="仿宋_GB2312" w:eastAsia="仿宋_GB2312" w:cs="仿宋_GB2312"/>
                <w:i w:val="0"/>
                <w:iCs w:val="0"/>
                <w:caps w:val="0"/>
                <w:color w:val="0F1115"/>
                <w:spacing w:val="0"/>
                <w:kern w:val="0"/>
                <w:sz w:val="24"/>
                <w:szCs w:val="24"/>
                <w:lang w:val="en-US" w:eastAsia="zh-CN" w:bidi="ar"/>
              </w:rPr>
              <w:t>教研科研过程数据缺少系统留存，难以形成可检索、可推荐、可追溯的知识资产。</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BBB9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1.AI赋能教学科研全流程协同。</w:t>
            </w:r>
            <w:r>
              <w:rPr>
                <w:rFonts w:hint="eastAsia" w:ascii="仿宋_GB2312" w:hAnsi="仿宋_GB2312" w:eastAsia="仿宋_GB2312" w:cs="仿宋_GB2312"/>
                <w:i w:val="0"/>
                <w:iCs w:val="0"/>
                <w:caps w:val="0"/>
                <w:color w:val="0F1115"/>
                <w:spacing w:val="0"/>
                <w:kern w:val="0"/>
                <w:sz w:val="24"/>
                <w:szCs w:val="24"/>
                <w:lang w:val="en-US" w:eastAsia="zh-CN" w:bidi="ar"/>
              </w:rPr>
              <w:t>深度融合飞书大模型，实现智能备课、课堂分析、科研文献速读、项目进度智能跟踪。</w:t>
            </w:r>
          </w:p>
          <w:p w14:paraId="4A8A5BF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2.教学科研知识智能沉淀复用。</w:t>
            </w:r>
            <w:r>
              <w:rPr>
                <w:rFonts w:hint="eastAsia" w:ascii="仿宋_GB2312" w:hAnsi="仿宋_GB2312" w:eastAsia="仿宋_GB2312" w:cs="仿宋_GB2312"/>
                <w:i w:val="0"/>
                <w:iCs w:val="0"/>
                <w:caps w:val="0"/>
                <w:color w:val="0F1115"/>
                <w:spacing w:val="0"/>
                <w:kern w:val="0"/>
                <w:sz w:val="24"/>
                <w:szCs w:val="24"/>
                <w:lang w:val="en-US" w:eastAsia="zh-CN" w:bidi="ar"/>
              </w:rPr>
              <w:t>围绕课程资料、教研成果、科研文献、项目材料等内容，建设可检索、可推荐、可追溯的知识库，提升知识资产复用水平。</w:t>
            </w:r>
          </w:p>
          <w:p w14:paraId="5AA8138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3.跨校科研协同方式创新。</w:t>
            </w:r>
            <w:r>
              <w:rPr>
                <w:rFonts w:hint="eastAsia" w:ascii="仿宋_GB2312" w:hAnsi="仿宋_GB2312" w:eastAsia="仿宋_GB2312" w:cs="仿宋_GB2312"/>
                <w:i w:val="0"/>
                <w:iCs w:val="0"/>
                <w:caps w:val="0"/>
                <w:color w:val="0F1115"/>
                <w:spacing w:val="0"/>
                <w:kern w:val="0"/>
                <w:sz w:val="24"/>
                <w:szCs w:val="24"/>
                <w:lang w:val="en-US" w:eastAsia="zh-CN" w:bidi="ar"/>
              </w:rPr>
              <w:t>依托统一协作空间，支持跨学院、跨学校科研团队开展资料共享、任务分工、进度跟踪和成果管理，降低跨主体协作成本。</w:t>
            </w:r>
          </w:p>
          <w:p w14:paraId="11D02C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44C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张老师</w:t>
            </w:r>
          </w:p>
          <w:p w14:paraId="7B44BA8F">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sz w:val="24"/>
                <w:szCs w:val="24"/>
                <w:lang w:val="en-US" w:eastAsia="zh-CN"/>
              </w:rPr>
            </w:pPr>
            <w:r>
              <w:rPr>
                <w:rFonts w:hint="eastAsia" w:ascii="仿宋_GB2312" w:hAnsi="仿宋_GB2312" w:eastAsia="仿宋_GB2312" w:cs="仿宋_GB2312"/>
                <w:i w:val="0"/>
                <w:iCs w:val="0"/>
                <w:sz w:val="24"/>
                <w:szCs w:val="24"/>
                <w:lang w:val="en-US" w:eastAsia="zh-CN"/>
              </w:rPr>
              <w:t>15001110989</w:t>
            </w:r>
          </w:p>
          <w:p w14:paraId="1963F56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textAlignment w:val="center"/>
              <w:rPr>
                <w:rFonts w:hint="eastAsia" w:ascii="仿宋_GB2312" w:hAnsi="仿宋_GB2312" w:eastAsia="仿宋_GB2312" w:cs="仿宋_GB2312"/>
                <w:i w:val="0"/>
                <w:iCs w:val="0"/>
                <w:kern w:val="2"/>
                <w:sz w:val="24"/>
                <w:szCs w:val="24"/>
                <w:lang w:val="en-US" w:eastAsia="zh-CN" w:bidi="ar-SA"/>
              </w:rPr>
            </w:pPr>
            <w:r>
              <w:rPr>
                <w:rFonts w:hint="default" w:ascii="仿宋_GB2312" w:hAnsi="仿宋_GB2312" w:eastAsia="仿宋_GB2312" w:cs="仿宋_GB2312"/>
                <w:i w:val="0"/>
                <w:iCs w:val="0"/>
                <w:sz w:val="24"/>
                <w:szCs w:val="24"/>
                <w:lang w:eastAsia="zh-CN"/>
              </w:rPr>
              <w:t>598956267@qq.com</w:t>
            </w:r>
          </w:p>
        </w:tc>
      </w:tr>
      <w:tr w14:paraId="0470F7CD">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FBCA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18</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7E0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default" w:ascii="仿宋_GB2312" w:hAnsi="仿宋_GB2312" w:eastAsia="仿宋_GB2312" w:cs="仿宋_GB2312"/>
                <w:i w:val="0"/>
                <w:iCs w:val="0"/>
                <w:caps w:val="0"/>
                <w:color w:val="0F1115"/>
                <w:spacing w:val="0"/>
                <w:kern w:val="0"/>
                <w:sz w:val="24"/>
                <w:szCs w:val="24"/>
                <w:lang w:val="en-US" w:eastAsia="zh-CN" w:bidi="ar"/>
              </w:rPr>
              <w:t>AI+VR职业技能实训评价与就业服务场景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D16A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北京经济管理职业学院</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3A3A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围绕职业院校实训教学、技能评价和就业对接需求，整合学生学习行为、实训过程、技能评价、企业岗位等数据，融合AI实训测评、VR/AR虚拟仿真、大数据分析等技术，实现技能训练场景模拟、操作过程指导、考核评价量化和岗位智能推荐，推动职业教育向数字化管理、智能化评价和精准化就业服务转变。</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754E">
            <w:pPr>
              <w:keepNext w:val="0"/>
              <w:keepLines w:val="0"/>
              <w:pageBreakBefore w:val="0"/>
              <w:widowControl/>
              <w:numPr>
                <w:ilvl w:val="0"/>
                <w:numId w:val="5"/>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背景情况</w:t>
            </w:r>
          </w:p>
          <w:p w14:paraId="65FA999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当前职业院校实训资源分散、过程数据沉淀不足、评价标准不统一，难以满足多校区、多主体、个性化、精准化的人才培养需求。</w:t>
            </w:r>
          </w:p>
          <w:p w14:paraId="57B2A007">
            <w:pPr>
              <w:keepNext w:val="0"/>
              <w:keepLines w:val="0"/>
              <w:pageBreakBefore w:val="0"/>
              <w:widowControl/>
              <w:numPr>
                <w:ilvl w:val="0"/>
                <w:numId w:val="5"/>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拟解决的问题</w:t>
            </w:r>
          </w:p>
          <w:p w14:paraId="04D0916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1.解决实训资源分散、跨校区共享管理难的问题。</w:t>
            </w:r>
          </w:p>
          <w:p w14:paraId="137E98EB">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2.解决实训过程难追溯、技能评价主观性强、考核结果量化不足的问题。</w:t>
            </w:r>
          </w:p>
          <w:p w14:paraId="17950CC9">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3.解决学生能力画像不清晰、个性化训练不足、校企岗位匹配效率不高的问题。</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820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bCs/>
                <w:i w:val="0"/>
                <w:iCs w:val="0"/>
                <w:caps w:val="0"/>
                <w:color w:val="0F1115"/>
                <w:spacing w:val="0"/>
                <w:kern w:val="0"/>
                <w:sz w:val="24"/>
                <w:szCs w:val="24"/>
                <w:lang w:val="en-US" w:eastAsia="zh-CN" w:bidi="ar"/>
              </w:rPr>
              <w:t>1.</w:t>
            </w:r>
            <w:r>
              <w:rPr>
                <w:rFonts w:hint="eastAsia" w:ascii="仿宋_GB2312" w:hAnsi="仿宋_GB2312" w:eastAsia="仿宋_GB2312" w:cs="仿宋_GB2312"/>
                <w:b/>
                <w:bCs/>
                <w:i w:val="0"/>
                <w:iCs w:val="0"/>
                <w:kern w:val="2"/>
                <w:sz w:val="24"/>
                <w:szCs w:val="24"/>
                <w:lang w:val="en-US" w:eastAsia="zh-CN" w:bidi="ar-SA"/>
              </w:rPr>
              <w:t>创新虚实融合的技能训练场景。</w:t>
            </w:r>
            <w:r>
              <w:rPr>
                <w:rFonts w:hint="eastAsia" w:ascii="仿宋_GB2312" w:hAnsi="仿宋_GB2312" w:eastAsia="仿宋_GB2312" w:cs="仿宋_GB2312"/>
                <w:i w:val="0"/>
                <w:iCs w:val="0"/>
                <w:caps w:val="0"/>
                <w:color w:val="0F1115"/>
                <w:spacing w:val="0"/>
                <w:kern w:val="0"/>
                <w:sz w:val="24"/>
                <w:szCs w:val="24"/>
                <w:lang w:val="en-US" w:eastAsia="zh-CN" w:bidi="ar"/>
              </w:rPr>
              <w:t>引入AI智能评分系统、VR/AR虚拟实训环境，实现实训过程智能化，动态调整培训方案。</w:t>
            </w:r>
            <w:r>
              <w:rPr>
                <w:rFonts w:hint="eastAsia" w:ascii="仿宋_GB2312" w:hAnsi="仿宋_GB2312" w:eastAsia="仿宋_GB2312" w:cs="仿宋_GB2312"/>
                <w:b w:val="0"/>
                <w:bCs w:val="0"/>
                <w:i w:val="0"/>
                <w:iCs w:val="0"/>
                <w:kern w:val="2"/>
                <w:sz w:val="24"/>
                <w:szCs w:val="24"/>
                <w:lang w:val="en-US" w:eastAsia="zh-CN" w:bidi="ar-SA"/>
              </w:rPr>
              <w:t>​</w:t>
            </w:r>
          </w:p>
          <w:p w14:paraId="6DE5CF16">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bCs/>
                <w:i w:val="0"/>
                <w:iCs w:val="0"/>
                <w:kern w:val="2"/>
                <w:sz w:val="24"/>
                <w:szCs w:val="24"/>
                <w:lang w:val="en-US" w:eastAsia="zh-CN" w:bidi="ar-SA"/>
              </w:rPr>
              <w:t>2.创新全过程智能评价方式。</w:t>
            </w:r>
            <w:r>
              <w:rPr>
                <w:rFonts w:hint="eastAsia" w:ascii="仿宋_GB2312" w:hAnsi="仿宋_GB2312" w:eastAsia="仿宋_GB2312" w:cs="仿宋_GB2312"/>
                <w:b w:val="0"/>
                <w:bCs w:val="0"/>
                <w:i w:val="0"/>
                <w:iCs w:val="0"/>
                <w:kern w:val="2"/>
                <w:sz w:val="24"/>
                <w:szCs w:val="24"/>
                <w:lang w:val="en-US" w:eastAsia="zh-CN" w:bidi="ar-SA"/>
              </w:rPr>
              <w:t>改变以人工观察的考核方式，基于操作行为、过程数据和任务完成质量，形成学生技能掌握度、操作规范性、成长轨迹等能力画像，自动生成量化评价结果，提升技能考核客观性和一致性。</w:t>
            </w:r>
          </w:p>
          <w:p w14:paraId="1360051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kern w:val="2"/>
                <w:sz w:val="24"/>
                <w:szCs w:val="24"/>
                <w:lang w:val="en-US" w:eastAsia="zh-CN" w:bidi="ar-SA"/>
              </w:rPr>
              <w:t>3.创新校企岗位精准匹配路径。</w:t>
            </w:r>
            <w:r>
              <w:rPr>
                <w:rFonts w:hint="eastAsia" w:ascii="仿宋_GB2312" w:hAnsi="仿宋_GB2312" w:eastAsia="仿宋_GB2312" w:cs="仿宋_GB2312"/>
                <w:i w:val="0"/>
                <w:iCs w:val="0"/>
                <w:caps w:val="0"/>
                <w:color w:val="0F1115"/>
                <w:spacing w:val="0"/>
                <w:kern w:val="0"/>
                <w:sz w:val="24"/>
                <w:szCs w:val="24"/>
                <w:lang w:val="en-US" w:eastAsia="zh-CN" w:bidi="ar"/>
              </w:rPr>
              <w:t>打通校内教学数据与企业岗位数据</w:t>
            </w:r>
            <w:r>
              <w:rPr>
                <w:rFonts w:hint="eastAsia" w:ascii="仿宋_GB2312" w:hAnsi="仿宋_GB2312" w:eastAsia="仿宋_GB2312" w:cs="仿宋_GB2312"/>
                <w:b w:val="0"/>
                <w:bCs w:val="0"/>
                <w:i w:val="0"/>
                <w:iCs w:val="0"/>
                <w:kern w:val="2"/>
                <w:sz w:val="24"/>
                <w:szCs w:val="24"/>
                <w:lang w:val="en-US" w:eastAsia="zh-CN" w:bidi="ar-SA"/>
              </w:rPr>
              <w:t>，建立“训练—评价—画像—推荐”闭环应用，推动人才培养结果与企业用人需求精准对接。</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11609">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桑老师</w:t>
            </w:r>
          </w:p>
          <w:p w14:paraId="322120D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13693080937</w:t>
            </w:r>
          </w:p>
          <w:p w14:paraId="62EFDB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hailingsang@biem.edu.cn</w:t>
            </w:r>
          </w:p>
          <w:p w14:paraId="765EC9F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袁老师15001304578</w:t>
            </w:r>
          </w:p>
          <w:p w14:paraId="2A8908D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Yuanli@</w:t>
            </w:r>
            <w:r>
              <w:rPr>
                <w:rFonts w:hint="eastAsia" w:ascii="仿宋_GB2312" w:hAnsi="仿宋_GB2312" w:eastAsia="仿宋_GB2312" w:cs="仿宋_GB2312"/>
                <w:b w:val="0"/>
                <w:bCs w:val="0"/>
                <w:i w:val="0"/>
                <w:iCs w:val="0"/>
                <w:kern w:val="2"/>
                <w:sz w:val="24"/>
                <w:szCs w:val="24"/>
                <w:lang w:val="en-US" w:eastAsia="zh-CN" w:bidi="ar-SA"/>
              </w:rPr>
              <w:t>biem.edu.cn</w:t>
            </w:r>
          </w:p>
        </w:tc>
      </w:tr>
      <w:tr w14:paraId="21CD8494">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5EBC2">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19</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97F41">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b w:val="0"/>
                <w:bCs w:val="0"/>
                <w:i w:val="0"/>
                <w:iCs w:val="0"/>
                <w:sz w:val="24"/>
                <w:szCs w:val="24"/>
                <w:lang w:val="en-US" w:eastAsia="zh-CN"/>
              </w:rPr>
              <w:t>工业SOP标准化智能实训场景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36EE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b w:val="0"/>
                <w:bCs w:val="0"/>
                <w:i w:val="0"/>
                <w:iCs w:val="0"/>
                <w:kern w:val="2"/>
                <w:sz w:val="24"/>
                <w:szCs w:val="24"/>
                <w:lang w:val="en-US" w:eastAsia="zh-CN" w:bidi="ar-SA"/>
              </w:rPr>
            </w:pPr>
            <w:r>
              <w:rPr>
                <w:rFonts w:hint="eastAsia" w:ascii="仿宋_GB2312" w:hAnsi="仿宋_GB2312" w:eastAsia="仿宋_GB2312" w:cs="仿宋_GB2312"/>
                <w:i w:val="0"/>
                <w:iCs w:val="0"/>
                <w:caps w:val="0"/>
                <w:color w:val="0F1115"/>
                <w:spacing w:val="0"/>
                <w:kern w:val="0"/>
                <w:sz w:val="24"/>
                <w:szCs w:val="24"/>
                <w:lang w:val="en-US" w:eastAsia="zh-CN" w:bidi="ar"/>
              </w:rPr>
              <w:t>北京经济管理职业学院</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4D7E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围绕校内实训教学与企业生产标准脱节问题，依托AI视觉感知、工业SOP标准库和数字化管控平台，将企业真实生产流程、作业规范、工期要求和质量标准导入实训教学全过程，实现标准学习、操作识别、智能纠错、过程管控和质量评价一体化应用，提升学生操作规范性、教师教学标准化水平和实训质量量化评价能力。</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F4B2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一、背景情况</w:t>
            </w:r>
          </w:p>
          <w:p w14:paraId="163A3654">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当前智能制造专业实训教学与企业生产标准衔接不够紧密，存在教学标准不统一、教师对工业SOP掌握不足、学生操作规范性不强、实训质量难量化等问题，人才培养与企业岗位用工标准存在脱节。</w:t>
            </w:r>
          </w:p>
          <w:p w14:paraId="19CE3E9E">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二、拟解决的问题</w:t>
            </w:r>
          </w:p>
          <w:p w14:paraId="5ED70F8C">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1.工业标准指导不足。</w:t>
            </w:r>
            <w:r>
              <w:rPr>
                <w:rFonts w:hint="eastAsia" w:ascii="仿宋_GB2312" w:hAnsi="仿宋_GB2312" w:eastAsia="仿宋_GB2312" w:cs="仿宋_GB2312"/>
                <w:i w:val="0"/>
                <w:iCs w:val="0"/>
                <w:caps w:val="0"/>
                <w:color w:val="0F1115"/>
                <w:spacing w:val="0"/>
                <w:kern w:val="0"/>
                <w:sz w:val="24"/>
                <w:szCs w:val="24"/>
                <w:lang w:val="en-US" w:eastAsia="zh-CN" w:bidi="ar"/>
              </w:rPr>
              <w:t>实训教学缺少统一工业SOP支撑，教学内容、操作流程与企业真实生产标准衔接不紧。</w:t>
            </w:r>
          </w:p>
          <w:p w14:paraId="378587B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default"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2.操作过程纠偏滞后。</w:t>
            </w:r>
            <w:r>
              <w:rPr>
                <w:rFonts w:hint="eastAsia" w:ascii="仿宋_GB2312" w:hAnsi="仿宋_GB2312" w:eastAsia="仿宋_GB2312" w:cs="仿宋_GB2312"/>
                <w:i w:val="0"/>
                <w:iCs w:val="0"/>
                <w:caps w:val="0"/>
                <w:color w:val="0F1115"/>
                <w:spacing w:val="0"/>
                <w:kern w:val="0"/>
                <w:sz w:val="24"/>
                <w:szCs w:val="24"/>
                <w:lang w:val="en-US" w:eastAsia="zh-CN" w:bidi="ar"/>
              </w:rPr>
              <w:t>学生实训操作缺少实时识别、即时纠错和过程反馈，不规范动作容易反复出现并固化。</w:t>
            </w:r>
          </w:p>
          <w:p w14:paraId="4CE8EB2F">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3.质量评价量化不足。</w:t>
            </w:r>
            <w:r>
              <w:rPr>
                <w:rFonts w:hint="eastAsia" w:ascii="仿宋_GB2312" w:hAnsi="仿宋_GB2312" w:eastAsia="仿宋_GB2312" w:cs="仿宋_GB2312"/>
                <w:i w:val="0"/>
                <w:iCs w:val="0"/>
                <w:caps w:val="0"/>
                <w:color w:val="0F1115"/>
                <w:spacing w:val="0"/>
                <w:kern w:val="0"/>
                <w:sz w:val="24"/>
                <w:szCs w:val="24"/>
                <w:lang w:val="en-US" w:eastAsia="zh-CN" w:bidi="ar"/>
              </w:rPr>
              <w:t>实训过程缺少数据化记录、过程化管控和标准化评价，难以还原企业工期、质量和规范作业要求。</w:t>
            </w:r>
          </w:p>
          <w:p w14:paraId="6B78043A">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240" w:lineRule="atLeast"/>
              <w:ind w:left="0" w:leftChars="0" w:right="0" w:firstLine="0" w:firstLineChars="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997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1.AI视觉与工业SOP深度融合。</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依托AI视觉感知和时序比对等技术，对学生操作动作、工序顺序进行实时识别和比对，实现操作偏差自动预警、错误动作即时纠正。</w:t>
            </w:r>
            <w:r>
              <w:rPr>
                <w:rFonts w:hint="eastAsia" w:ascii="仿宋_GB2312" w:hAnsi="仿宋_GB2312" w:eastAsia="仿宋_GB2312" w:cs="仿宋_GB2312"/>
                <w:b/>
                <w:bCs/>
                <w:i w:val="0"/>
                <w:iCs w:val="0"/>
                <w:caps w:val="0"/>
                <w:color w:val="0F1115"/>
                <w:spacing w:val="0"/>
                <w:kern w:val="0"/>
                <w:sz w:val="24"/>
                <w:szCs w:val="24"/>
                <w:lang w:val="en-US" w:eastAsia="zh-CN" w:bidi="ar"/>
              </w:rPr>
              <w:t>​</w:t>
            </w:r>
          </w:p>
          <w:p w14:paraId="1067480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2.企业生产标准导入实训教学。</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将企业真实生产流程、岗位作业规范、工期要求和质量标准嵌入教学全过程，模拟企业质量管控要求，推动校内实训由经验教学向工业标准牵引转变。</w:t>
            </w:r>
          </w:p>
          <w:p w14:paraId="6ACA205C">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left"/>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i w:val="0"/>
                <w:iCs w:val="0"/>
                <w:caps w:val="0"/>
                <w:color w:val="0F1115"/>
                <w:spacing w:val="0"/>
                <w:kern w:val="0"/>
                <w:sz w:val="24"/>
                <w:szCs w:val="24"/>
                <w:lang w:val="en-US" w:eastAsia="zh-CN" w:bidi="ar"/>
              </w:rPr>
              <w:t>3.实训过程数据资产沉淀。</w:t>
            </w:r>
            <w:r>
              <w:rPr>
                <w:rFonts w:hint="eastAsia" w:ascii="仿宋_GB2312" w:hAnsi="仿宋_GB2312" w:eastAsia="仿宋_GB2312" w:cs="仿宋_GB2312"/>
                <w:b w:val="0"/>
                <w:bCs w:val="0"/>
                <w:i w:val="0"/>
                <w:iCs w:val="0"/>
                <w:caps w:val="0"/>
                <w:color w:val="0F1115"/>
                <w:spacing w:val="0"/>
                <w:kern w:val="0"/>
                <w:sz w:val="24"/>
                <w:szCs w:val="24"/>
                <w:lang w:val="en-US" w:eastAsia="zh-CN" w:bidi="ar"/>
              </w:rPr>
              <w:t>采集学生操作行为、工序完成情况、错误类型、纠错记录、教师指导过程等数据，形成学生标准化能力画像和教学质量分析报告，实现实训过程可记录、质量可量化。</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037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刘老师</w:t>
            </w:r>
          </w:p>
          <w:p w14:paraId="0E9DD29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caps w:val="0"/>
                <w:color w:val="0F1115"/>
                <w:spacing w:val="0"/>
                <w:kern w:val="0"/>
                <w:sz w:val="24"/>
                <w:szCs w:val="24"/>
                <w:lang w:val="en-US" w:eastAsia="zh-CN" w:bidi="ar"/>
              </w:rPr>
              <w:t>13381289831</w:t>
            </w:r>
          </w:p>
          <w:p w14:paraId="11B10E4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i w:val="0"/>
                <w:iCs w:val="0"/>
                <w:sz w:val="24"/>
                <w:szCs w:val="24"/>
                <w:lang w:val="en-US" w:eastAsia="zh-CN"/>
              </w:rPr>
              <w:t>Liuzhengquan@</w:t>
            </w:r>
            <w:r>
              <w:rPr>
                <w:rFonts w:hint="eastAsia" w:ascii="仿宋_GB2312" w:hAnsi="仿宋_GB2312" w:eastAsia="仿宋_GB2312" w:cs="仿宋_GB2312"/>
                <w:b w:val="0"/>
                <w:bCs w:val="0"/>
                <w:i w:val="0"/>
                <w:iCs w:val="0"/>
                <w:kern w:val="2"/>
                <w:sz w:val="24"/>
                <w:szCs w:val="24"/>
                <w:lang w:val="en-US" w:eastAsia="zh-CN" w:bidi="ar-SA"/>
              </w:rPr>
              <w:t>biem.edu.cn</w:t>
            </w:r>
          </w:p>
        </w:tc>
      </w:tr>
      <w:tr w14:paraId="6A1E46D2">
        <w:tblPrEx>
          <w:tblCellMar>
            <w:top w:w="0" w:type="dxa"/>
            <w:left w:w="108" w:type="dxa"/>
            <w:bottom w:w="0" w:type="dxa"/>
            <w:right w:w="108" w:type="dxa"/>
          </w:tblCellMar>
        </w:tblPrEx>
        <w:trPr>
          <w:trHeight w:val="7766" w:hRule="atLeast"/>
        </w:trPr>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594DF">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leftChars="0" w:right="0" w:rightChars="0" w:firstLine="0" w:firstLineChars="0"/>
              <w:jc w:val="center"/>
              <w:rPr>
                <w:rFonts w:hint="default"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2"/>
                <w:sz w:val="24"/>
                <w:szCs w:val="24"/>
                <w:u w:val="none"/>
                <w:lang w:val="en-US" w:eastAsia="zh-CN" w:bidi="ar-SA"/>
              </w:rPr>
              <w:t>20</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383D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center"/>
              <w:rPr>
                <w:rFonts w:hint="eastAsia" w:ascii="仿宋_GB2312" w:hAnsi="仿宋_GB2312" w:eastAsia="仿宋_GB2312" w:cs="仿宋_GB2312"/>
                <w:color w:val="0F1115"/>
                <w:kern w:val="0"/>
                <w:sz w:val="24"/>
                <w:szCs w:val="24"/>
                <w:lang w:val="en-US" w:eastAsia="zh-CN" w:bidi="ar"/>
              </w:rPr>
            </w:pPr>
            <w:r>
              <w:rPr>
                <w:rFonts w:hint="eastAsia" w:ascii="仿宋_GB2312" w:hAnsi="仿宋_GB2312" w:eastAsia="仿宋_GB2312" w:cs="仿宋_GB2312"/>
                <w:color w:val="0F1115"/>
                <w:kern w:val="0"/>
                <w:sz w:val="24"/>
                <w:szCs w:val="24"/>
                <w:lang w:bidi="ar"/>
              </w:rPr>
              <w:t>城市“三生空间”动态识别与生态韧性治理场景</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337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center"/>
              <w:rPr>
                <w:rFonts w:hint="eastAsia" w:ascii="仿宋_GB2312" w:hAnsi="仿宋_GB2312" w:eastAsia="仿宋_GB2312" w:cs="仿宋_GB2312"/>
                <w:color w:val="0F1115"/>
                <w:kern w:val="0"/>
                <w:sz w:val="24"/>
                <w:szCs w:val="24"/>
                <w:lang w:val="en-US" w:eastAsia="zh-CN" w:bidi="ar"/>
              </w:rPr>
            </w:pPr>
            <w:r>
              <w:rPr>
                <w:rFonts w:hint="eastAsia" w:ascii="仿宋_GB2312" w:hAnsi="仿宋_GB2312" w:eastAsia="仿宋_GB2312" w:cs="仿宋_GB2312"/>
                <w:sz w:val="24"/>
                <w:szCs w:val="24"/>
              </w:rPr>
              <w:t>北京工商大学</w:t>
            </w:r>
          </w:p>
        </w:tc>
        <w:tc>
          <w:tcPr>
            <w:tcW w:w="10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812A2">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left"/>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sz w:val="24"/>
                <w:szCs w:val="24"/>
              </w:rPr>
              <w:t>围绕北京市超大城市精细化治理和生态文明建设需求，依托北斗增强定位、低空无人机巡查、AI边缘智算、多源遥感和物联网感知等能力，构建城市生态治理三维动态感知底座，支撑“三生空间”（生产-生活-生态）动态识别、土地利用权衡分析、碳排放与碳汇核算、海绵城市和韧性城市评估等应用，提升城市生态治理“看得清、算得准、调得快”能力。</w:t>
            </w:r>
          </w:p>
        </w:tc>
        <w:tc>
          <w:tcPr>
            <w:tcW w:w="16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5E22">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一、背景情况</w:t>
            </w:r>
          </w:p>
          <w:p w14:paraId="5BACEFFD">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北京作为超大城市，面临生态空间碎片化、土地利用竞争加剧、双碳目标约束趋紧等挑战。传统治理方式主要依赖二维地理信息和人工调查，数据更新慢、要素关联弱、跨部门协同不足，难以支撑生态空间精细化治理和“数智北京”建设需求。低空经济发展为空间动态感知提供了新手段，亟需推动低空数据与城市生态治理业务深度融合</w:t>
            </w:r>
            <w:r>
              <w:rPr>
                <w:rFonts w:hint="eastAsia" w:ascii="仿宋_GB2312" w:hAnsi="仿宋_GB2312" w:eastAsia="仿宋_GB2312" w:cs="仿宋_GB2312"/>
                <w:b/>
                <w:bCs/>
                <w:sz w:val="24"/>
                <w:szCs w:val="24"/>
              </w:rPr>
              <w:t>。</w:t>
            </w:r>
          </w:p>
          <w:p w14:paraId="3A711385">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二、拟解决的关键问题</w:t>
            </w:r>
          </w:p>
          <w:p w14:paraId="11DE259D">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1.生态空间动态识别难。</w:t>
            </w:r>
            <w:r>
              <w:rPr>
                <w:rFonts w:hint="eastAsia" w:ascii="仿宋_GB2312" w:hAnsi="仿宋_GB2312" w:eastAsia="仿宋_GB2312" w:cs="仿宋_GB2312"/>
                <w:sz w:val="24"/>
                <w:szCs w:val="24"/>
              </w:rPr>
              <w:t>传统二维静态图斑更新频次低，难以反映“三生空间”和城市生态系统的立体演变。​</w:t>
            </w:r>
          </w:p>
          <w:p w14:paraId="3ECD159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2.多源时空数据融合弱。</w:t>
            </w:r>
            <w:r>
              <w:rPr>
                <w:rFonts w:hint="eastAsia" w:ascii="仿宋_GB2312" w:hAnsi="仿宋_GB2312" w:eastAsia="仿宋_GB2312" w:cs="仿宋_GB2312"/>
                <w:sz w:val="24"/>
                <w:szCs w:val="24"/>
              </w:rPr>
              <w:t>遥感、低空、物联网、统计和城市运行数据分散在不同部门，数据共享和协同应用不足。</w:t>
            </w:r>
          </w:p>
          <w:p w14:paraId="595F2200">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lef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3.生态治理决策可计算性不足。</w:t>
            </w:r>
            <w:r>
              <w:rPr>
                <w:rFonts w:hint="eastAsia" w:ascii="仿宋_GB2312" w:hAnsi="仿宋_GB2312" w:eastAsia="仿宋_GB2312" w:cs="仿宋_GB2312"/>
                <w:sz w:val="24"/>
                <w:szCs w:val="24"/>
              </w:rPr>
              <w:t>生态空间、土地利用、碳排放、碳汇能力等要素缺少一体化分析底座，难以支撑综合权衡决策。</w:t>
            </w:r>
          </w:p>
          <w:p w14:paraId="1468D195">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left"/>
              <w:rPr>
                <w:rFonts w:hint="eastAsia" w:ascii="仿宋_GB2312" w:hAnsi="仿宋_GB2312" w:eastAsia="仿宋_GB2312" w:cs="仿宋_GB2312"/>
                <w:i w:val="0"/>
                <w:iCs w:val="0"/>
                <w:caps w:val="0"/>
                <w:color w:val="0F1115"/>
                <w:spacing w:val="0"/>
                <w:kern w:val="0"/>
                <w:sz w:val="24"/>
                <w:szCs w:val="24"/>
                <w:lang w:val="en-US" w:eastAsia="zh-CN" w:bidi="ar"/>
              </w:rPr>
            </w:pPr>
            <w:r>
              <w:rPr>
                <w:rFonts w:hint="eastAsia" w:ascii="仿宋_GB2312" w:hAnsi="仿宋_GB2312" w:eastAsia="仿宋_GB2312" w:cs="仿宋_GB2312"/>
                <w:b/>
                <w:bCs/>
                <w:sz w:val="24"/>
                <w:szCs w:val="24"/>
              </w:rPr>
              <w:t>4.韧性评估推演能力不足。</w:t>
            </w:r>
            <w:r>
              <w:rPr>
                <w:rFonts w:hint="eastAsia" w:ascii="仿宋_GB2312" w:hAnsi="仿宋_GB2312" w:eastAsia="仿宋_GB2312" w:cs="仿宋_GB2312"/>
                <w:sz w:val="24"/>
                <w:szCs w:val="24"/>
              </w:rPr>
              <w:t>城市生态治理和突发事件应对缺少可视化、可推演、可复盘工具，影响快速研判和精准调度。</w:t>
            </w:r>
          </w:p>
        </w:tc>
        <w:tc>
          <w:tcPr>
            <w:tcW w:w="1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BF44A">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1.构建城市生态治理三维动态感知底座。</w:t>
            </w:r>
            <w:r>
              <w:rPr>
                <w:rFonts w:hint="eastAsia" w:ascii="仿宋_GB2312" w:hAnsi="仿宋_GB2312" w:eastAsia="仿宋_GB2312" w:cs="仿宋_GB2312"/>
                <w:sz w:val="24"/>
                <w:szCs w:val="24"/>
              </w:rPr>
              <w:t>依托实景三维数字底座、AI-TEMS机载边缘智算和北斗高精度导航能力，支撑城市生态空间动态感知、精准定位和快速响应，将传统人工生态勘查周期由“周级”压缩至“小时级”，路径重规划响应时间压缩至50毫秒。</w:t>
            </w:r>
          </w:p>
          <w:p w14:paraId="096996E3">
            <w:pPr>
              <w:keepNext w:val="0"/>
              <w:keepLines w:val="0"/>
              <w:pageBreakBefore w:val="0"/>
              <w:suppressLineNumbers w:val="0"/>
              <w:kinsoku/>
              <w:wordWrap/>
              <w:overflowPunct/>
              <w:topLinePunct w:val="0"/>
              <w:autoSpaceDE/>
              <w:autoSpaceDN/>
              <w:bidi w:val="0"/>
              <w:snapToGrid w:val="0"/>
              <w:spacing w:before="0" w:beforeAutospacing="0" w:after="0" w:afterAutospacing="0" w:line="240" w:lineRule="atLeast"/>
              <w:ind w:left="0" w:right="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2.形成“地表—低空—地下”全空间数据资产。</w:t>
            </w:r>
            <w:r>
              <w:rPr>
                <w:rFonts w:hint="eastAsia" w:ascii="仿宋_GB2312" w:hAnsi="仿宋_GB2312" w:eastAsia="仿宋_GB2312" w:cs="仿宋_GB2312"/>
                <w:sz w:val="24"/>
                <w:szCs w:val="24"/>
              </w:rPr>
              <w:t>首次将低空高频多模态数据（实景三维、激光点云、热红外、多光谱）与城市运行库、生态环境监测库、土地变更库融合建模，构建覆盖“地表-低空-地下”全空间的城市生态治理数据资产。</w:t>
            </w:r>
          </w:p>
          <w:p w14:paraId="380AF8C7">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left"/>
              <w:rPr>
                <w:rFonts w:hint="eastAsia" w:ascii="仿宋_GB2312" w:hAnsi="仿宋_GB2312" w:eastAsia="仿宋_GB2312" w:cs="仿宋_GB2312"/>
                <w:b/>
                <w:bCs/>
                <w:i w:val="0"/>
                <w:iCs w:val="0"/>
                <w:caps w:val="0"/>
                <w:color w:val="0F1115"/>
                <w:spacing w:val="0"/>
                <w:kern w:val="0"/>
                <w:sz w:val="24"/>
                <w:szCs w:val="24"/>
                <w:lang w:val="en-US" w:eastAsia="zh-CN" w:bidi="ar"/>
              </w:rPr>
            </w:pPr>
            <w:r>
              <w:rPr>
                <w:rFonts w:hint="eastAsia" w:ascii="仿宋_GB2312" w:hAnsi="仿宋_GB2312" w:eastAsia="仿宋_GB2312" w:cs="仿宋_GB2312"/>
                <w:b/>
                <w:bCs/>
                <w:sz w:val="24"/>
                <w:szCs w:val="24"/>
              </w:rPr>
              <w:t>3.研发“三生空间”智慧治理与韧性评估应用。</w:t>
            </w:r>
            <w:r>
              <w:rPr>
                <w:rFonts w:hint="eastAsia" w:ascii="仿宋_GB2312" w:hAnsi="仿宋_GB2312" w:eastAsia="仿宋_GB2312" w:cs="仿宋_GB2312"/>
                <w:sz w:val="24"/>
                <w:szCs w:val="24"/>
              </w:rPr>
              <w:t>依托“三生空间功能分区”和“城镇化生态转型”理论框架，研发城市生态空间智慧治理与韧性评估应用模块，支撑生产、生活、生态空间动态识别、协同优化和治理成效评估。</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4E56">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center"/>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张</w:t>
            </w:r>
            <w:r>
              <w:rPr>
                <w:rFonts w:hint="eastAsia" w:ascii="仿宋_GB2312" w:hAnsi="仿宋_GB2312" w:eastAsia="仿宋_GB2312" w:cs="仿宋_GB2312"/>
                <w:i w:val="0"/>
                <w:iCs w:val="0"/>
                <w:caps w:val="0"/>
                <w:color w:val="0F1115"/>
                <w:spacing w:val="0"/>
                <w:kern w:val="0"/>
                <w:sz w:val="24"/>
                <w:szCs w:val="24"/>
                <w:lang w:val="en-US" w:eastAsia="zh-CN" w:bidi="ar"/>
              </w:rPr>
              <w:t>老师</w:t>
            </w:r>
          </w:p>
          <w:p w14:paraId="427EDC44">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center"/>
              <w:rPr>
                <w:rFonts w:hint="eastAsia" w:ascii="仿宋_GB2312" w:hAnsi="仿宋_GB2312" w:eastAsia="仿宋_GB2312" w:cs="仿宋_GB2312"/>
                <w:i w:val="0"/>
                <w:iCs w:val="0"/>
                <w:sz w:val="24"/>
                <w:szCs w:val="24"/>
              </w:rPr>
            </w:pPr>
            <w:r>
              <w:rPr>
                <w:rFonts w:hint="eastAsia" w:ascii="仿宋_GB2312" w:hAnsi="仿宋_GB2312" w:eastAsia="仿宋_GB2312" w:cs="仿宋_GB2312"/>
                <w:i w:val="0"/>
                <w:iCs w:val="0"/>
                <w:sz w:val="24"/>
                <w:szCs w:val="24"/>
              </w:rPr>
              <w:t>010-81353268</w:t>
            </w:r>
          </w:p>
          <w:p w14:paraId="334638DC">
            <w:pPr>
              <w:keepNext w:val="0"/>
              <w:keepLines w:val="0"/>
              <w:pageBreakBefore w:val="0"/>
              <w:widowControl/>
              <w:suppressLineNumbers w:val="0"/>
              <w:kinsoku/>
              <w:wordWrap/>
              <w:overflowPunct/>
              <w:topLinePunct w:val="0"/>
              <w:autoSpaceDE/>
              <w:autoSpaceDN/>
              <w:bidi w:val="0"/>
              <w:snapToGrid w:val="0"/>
              <w:spacing w:before="0" w:beforeAutospacing="0" w:after="0" w:afterAutospacing="0" w:line="240" w:lineRule="atLeast"/>
              <w:ind w:left="0" w:right="0"/>
              <w:jc w:val="center"/>
              <w:rPr>
                <w:rFonts w:hint="eastAsia" w:ascii="仿宋_GB2312" w:hAnsi="仿宋_GB2312" w:eastAsia="仿宋_GB2312" w:cs="仿宋_GB2312"/>
                <w:i w:val="0"/>
                <w:iCs w:val="0"/>
                <w:kern w:val="2"/>
                <w:sz w:val="24"/>
                <w:szCs w:val="24"/>
                <w:lang w:val="en-US" w:eastAsia="zh-CN" w:bidi="ar-SA"/>
              </w:rPr>
            </w:pPr>
            <w:r>
              <w:rPr>
                <w:rFonts w:hint="eastAsia" w:ascii="仿宋_GB2312" w:hAnsi="仿宋_GB2312" w:eastAsia="仿宋_GB2312" w:cs="仿宋_GB2312"/>
                <w:i w:val="0"/>
                <w:iCs w:val="0"/>
                <w:sz w:val="24"/>
                <w:szCs w:val="24"/>
              </w:rPr>
              <w:t>zhangxun@btbu.edu.cn</w:t>
            </w:r>
          </w:p>
        </w:tc>
      </w:tr>
    </w:tbl>
    <w:p w14:paraId="1BF0DBB3">
      <w:pPr>
        <w:widowControl/>
        <w:spacing w:line="560" w:lineRule="exact"/>
        <w:jc w:val="left"/>
        <w:outlineLvl w:val="0"/>
        <w:rPr>
          <w:rFonts w:hint="eastAsia" w:ascii="Times New Roman" w:hAnsi="Times New Roman" w:eastAsia="黑体" w:cs="黑体"/>
          <w:color w:val="000000" w:themeColor="text1"/>
          <w:sz w:val="32"/>
          <w:szCs w:val="32"/>
          <w:highlight w:val="none"/>
          <w14:textFill>
            <w14:solidFill>
              <w14:schemeClr w14:val="tx1"/>
            </w14:solidFill>
          </w14:textFill>
        </w:rPr>
        <w:sectPr>
          <w:headerReference r:id="rId3" w:type="default"/>
          <w:footerReference r:id="rId4" w:type="default"/>
          <w:pgSz w:w="16838" w:h="11905" w:orient="landscape"/>
          <w:pgMar w:top="1803" w:right="1440" w:bottom="1803" w:left="1440" w:header="851" w:footer="992" w:gutter="0"/>
          <w:cols w:space="720" w:num="1"/>
          <w:docGrid w:type="lines" w:linePitch="325" w:charSpace="0"/>
        </w:sectPr>
      </w:pPr>
      <w:bookmarkStart w:id="1" w:name="_GoBack"/>
      <w:bookmarkEnd w:id="1"/>
    </w:p>
    <w:p w14:paraId="3538A9FE">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978C8">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55D77601">
                    <w:pPr>
                      <w:pStyle w:val="8"/>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fldChar w:fldCharType="begin"/>
                    </w:r>
                    <w:r>
                      <w:rPr>
                        <w:rFonts w:hint="eastAsia" w:ascii="仿宋_GB2312" w:hAnsi="仿宋_GB2312" w:eastAsia="仿宋_GB2312" w:cs="仿宋_GB2312"/>
                        <w:sz w:val="21"/>
                        <w:szCs w:val="21"/>
                      </w:rPr>
                      <w:instrText xml:space="preserve"> PAGE  \* MERGEFORMAT </w:instrText>
                    </w:r>
                    <w:r>
                      <w:rPr>
                        <w:rFonts w:hint="eastAsia" w:ascii="仿宋_GB2312" w:hAnsi="仿宋_GB2312" w:eastAsia="仿宋_GB2312" w:cs="仿宋_GB2312"/>
                        <w:sz w:val="21"/>
                        <w:szCs w:val="21"/>
                      </w:rPr>
                      <w:fldChar w:fldCharType="separate"/>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DDB8E">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F78BA"/>
    <w:multiLevelType w:val="singleLevel"/>
    <w:tmpl w:val="982F78BA"/>
    <w:lvl w:ilvl="0" w:tentative="0">
      <w:start w:val="1"/>
      <w:numFmt w:val="chineseCounting"/>
      <w:suff w:val="nothing"/>
      <w:lvlText w:val="%1、"/>
      <w:lvlJc w:val="left"/>
      <w:rPr>
        <w:rFonts w:hint="eastAsia"/>
      </w:rPr>
    </w:lvl>
  </w:abstractNum>
  <w:abstractNum w:abstractNumId="1">
    <w:nsid w:val="A06A662F"/>
    <w:multiLevelType w:val="singleLevel"/>
    <w:tmpl w:val="A06A662F"/>
    <w:lvl w:ilvl="0" w:tentative="0">
      <w:start w:val="2"/>
      <w:numFmt w:val="chineseCounting"/>
      <w:suff w:val="nothing"/>
      <w:lvlText w:val="%1、"/>
      <w:lvlJc w:val="left"/>
      <w:rPr>
        <w:rFonts w:hint="eastAsia"/>
      </w:rPr>
    </w:lvl>
  </w:abstractNum>
  <w:abstractNum w:abstractNumId="2">
    <w:nsid w:val="E2E70484"/>
    <w:multiLevelType w:val="singleLevel"/>
    <w:tmpl w:val="E2E70484"/>
    <w:lvl w:ilvl="0" w:tentative="0">
      <w:start w:val="1"/>
      <w:numFmt w:val="chineseCounting"/>
      <w:suff w:val="nothing"/>
      <w:lvlText w:val="%1、"/>
      <w:lvlJc w:val="left"/>
      <w:rPr>
        <w:rFonts w:hint="eastAsia"/>
      </w:rPr>
    </w:lvl>
  </w:abstractNum>
  <w:abstractNum w:abstractNumId="3">
    <w:nsid w:val="FBDB2764"/>
    <w:multiLevelType w:val="singleLevel"/>
    <w:tmpl w:val="FBDB2764"/>
    <w:lvl w:ilvl="0" w:tentative="0">
      <w:start w:val="1"/>
      <w:numFmt w:val="chineseCounting"/>
      <w:suff w:val="nothing"/>
      <w:lvlText w:val="%1、"/>
      <w:lvlJc w:val="left"/>
      <w:rPr>
        <w:rFonts w:hint="eastAsia"/>
      </w:rPr>
    </w:lvl>
  </w:abstractNum>
  <w:abstractNum w:abstractNumId="4">
    <w:nsid w:val="56D052C4"/>
    <w:multiLevelType w:val="singleLevel"/>
    <w:tmpl w:val="56D052C4"/>
    <w:lvl w:ilvl="0" w:tentative="0">
      <w:start w:val="1"/>
      <w:numFmt w:val="chineseCounting"/>
      <w:suff w:val="nothing"/>
      <w:lvlText w:val="%1、"/>
      <w:lvlJc w:val="left"/>
      <w:rPr>
        <w:rFonts w:hint="eastAsia"/>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1NGQ4MDY4NjMxYWVlMzc3ODM2NDE0MmU1ODUxYzYifQ=="/>
  </w:docVars>
  <w:rsids>
    <w:rsidRoot w:val="4A1947CF"/>
    <w:rsid w:val="00056FB6"/>
    <w:rsid w:val="000D3089"/>
    <w:rsid w:val="000E5D72"/>
    <w:rsid w:val="001373D9"/>
    <w:rsid w:val="00223F17"/>
    <w:rsid w:val="002610D4"/>
    <w:rsid w:val="00261842"/>
    <w:rsid w:val="00262B68"/>
    <w:rsid w:val="002F5F75"/>
    <w:rsid w:val="00316858"/>
    <w:rsid w:val="00317A88"/>
    <w:rsid w:val="00331371"/>
    <w:rsid w:val="00345656"/>
    <w:rsid w:val="0038382E"/>
    <w:rsid w:val="00394586"/>
    <w:rsid w:val="003B14F1"/>
    <w:rsid w:val="004A548F"/>
    <w:rsid w:val="004F14B7"/>
    <w:rsid w:val="00554655"/>
    <w:rsid w:val="00580A30"/>
    <w:rsid w:val="005F24C5"/>
    <w:rsid w:val="00605769"/>
    <w:rsid w:val="00606854"/>
    <w:rsid w:val="00624A3B"/>
    <w:rsid w:val="006442A6"/>
    <w:rsid w:val="00654B4B"/>
    <w:rsid w:val="00674445"/>
    <w:rsid w:val="006814CC"/>
    <w:rsid w:val="006B1F06"/>
    <w:rsid w:val="006C590B"/>
    <w:rsid w:val="006D6A95"/>
    <w:rsid w:val="006F20E7"/>
    <w:rsid w:val="007B435C"/>
    <w:rsid w:val="00810FD9"/>
    <w:rsid w:val="0081652B"/>
    <w:rsid w:val="00854977"/>
    <w:rsid w:val="008E7BB5"/>
    <w:rsid w:val="00982BC8"/>
    <w:rsid w:val="009A7541"/>
    <w:rsid w:val="009F00EF"/>
    <w:rsid w:val="00A075D7"/>
    <w:rsid w:val="00A448FF"/>
    <w:rsid w:val="00A5779A"/>
    <w:rsid w:val="00A7008D"/>
    <w:rsid w:val="00AB032D"/>
    <w:rsid w:val="00AB0EB7"/>
    <w:rsid w:val="00AC55B6"/>
    <w:rsid w:val="00AF5435"/>
    <w:rsid w:val="00B1447F"/>
    <w:rsid w:val="00B246E6"/>
    <w:rsid w:val="00B73B9F"/>
    <w:rsid w:val="00B777D7"/>
    <w:rsid w:val="00BB662D"/>
    <w:rsid w:val="00BF62FD"/>
    <w:rsid w:val="00C4160C"/>
    <w:rsid w:val="00C81AB2"/>
    <w:rsid w:val="00C97D98"/>
    <w:rsid w:val="00CC241A"/>
    <w:rsid w:val="00CD1788"/>
    <w:rsid w:val="00D20E63"/>
    <w:rsid w:val="00D62490"/>
    <w:rsid w:val="00D678E1"/>
    <w:rsid w:val="00D81736"/>
    <w:rsid w:val="00E14D99"/>
    <w:rsid w:val="00E4426A"/>
    <w:rsid w:val="00E503A4"/>
    <w:rsid w:val="00E51382"/>
    <w:rsid w:val="00EB1C0E"/>
    <w:rsid w:val="00EC1826"/>
    <w:rsid w:val="00EC3238"/>
    <w:rsid w:val="00ED7762"/>
    <w:rsid w:val="00F05477"/>
    <w:rsid w:val="00F11C6A"/>
    <w:rsid w:val="00F33C3C"/>
    <w:rsid w:val="00F86C36"/>
    <w:rsid w:val="00FE4450"/>
    <w:rsid w:val="012422A5"/>
    <w:rsid w:val="0128340D"/>
    <w:rsid w:val="0187402D"/>
    <w:rsid w:val="01CB7837"/>
    <w:rsid w:val="020D7F5E"/>
    <w:rsid w:val="0289503D"/>
    <w:rsid w:val="029167E5"/>
    <w:rsid w:val="02E334E5"/>
    <w:rsid w:val="03472502"/>
    <w:rsid w:val="037062E2"/>
    <w:rsid w:val="039E565E"/>
    <w:rsid w:val="04390EE3"/>
    <w:rsid w:val="04E80AA5"/>
    <w:rsid w:val="052D6055"/>
    <w:rsid w:val="054F4E62"/>
    <w:rsid w:val="057E12A3"/>
    <w:rsid w:val="059D4CC1"/>
    <w:rsid w:val="05BF1C01"/>
    <w:rsid w:val="061D286A"/>
    <w:rsid w:val="062E7FE1"/>
    <w:rsid w:val="067405F4"/>
    <w:rsid w:val="07060075"/>
    <w:rsid w:val="070849AB"/>
    <w:rsid w:val="070D149F"/>
    <w:rsid w:val="075861C7"/>
    <w:rsid w:val="079AB5C0"/>
    <w:rsid w:val="07E13D6B"/>
    <w:rsid w:val="0822122F"/>
    <w:rsid w:val="08971A59"/>
    <w:rsid w:val="08EE6DF2"/>
    <w:rsid w:val="09B46DD4"/>
    <w:rsid w:val="09C006A7"/>
    <w:rsid w:val="0A9C3F7A"/>
    <w:rsid w:val="0AF12517"/>
    <w:rsid w:val="0B1E3309"/>
    <w:rsid w:val="0B5C2086"/>
    <w:rsid w:val="0BEF1972"/>
    <w:rsid w:val="0C011682"/>
    <w:rsid w:val="0C8E531B"/>
    <w:rsid w:val="0CE20CA2"/>
    <w:rsid w:val="0DCF2837"/>
    <w:rsid w:val="0DD00B0A"/>
    <w:rsid w:val="0DEB1499"/>
    <w:rsid w:val="0DF447F8"/>
    <w:rsid w:val="0E2A3E4A"/>
    <w:rsid w:val="0E414D48"/>
    <w:rsid w:val="0E567261"/>
    <w:rsid w:val="0EDC4F74"/>
    <w:rsid w:val="0EF94BFA"/>
    <w:rsid w:val="0F504066"/>
    <w:rsid w:val="0FA723BA"/>
    <w:rsid w:val="106D01BA"/>
    <w:rsid w:val="10B97633"/>
    <w:rsid w:val="10EA711E"/>
    <w:rsid w:val="10FE4BED"/>
    <w:rsid w:val="11020FDA"/>
    <w:rsid w:val="118656C5"/>
    <w:rsid w:val="11C159AF"/>
    <w:rsid w:val="11E06E1D"/>
    <w:rsid w:val="11E607FA"/>
    <w:rsid w:val="12BB2748"/>
    <w:rsid w:val="12C003B3"/>
    <w:rsid w:val="12F9465F"/>
    <w:rsid w:val="13394518"/>
    <w:rsid w:val="133B6A25"/>
    <w:rsid w:val="13C066C4"/>
    <w:rsid w:val="14013435"/>
    <w:rsid w:val="141C6857"/>
    <w:rsid w:val="1493692C"/>
    <w:rsid w:val="14C30A80"/>
    <w:rsid w:val="14F93100"/>
    <w:rsid w:val="15536BEB"/>
    <w:rsid w:val="159B646C"/>
    <w:rsid w:val="15EF4971"/>
    <w:rsid w:val="16157132"/>
    <w:rsid w:val="163360DA"/>
    <w:rsid w:val="163D0D06"/>
    <w:rsid w:val="166B1213"/>
    <w:rsid w:val="16FD1C47"/>
    <w:rsid w:val="17137B51"/>
    <w:rsid w:val="175F37DC"/>
    <w:rsid w:val="176C18A3"/>
    <w:rsid w:val="17A54DB5"/>
    <w:rsid w:val="17A806FA"/>
    <w:rsid w:val="17BA34D1"/>
    <w:rsid w:val="17D105AC"/>
    <w:rsid w:val="18185587"/>
    <w:rsid w:val="181E3DA1"/>
    <w:rsid w:val="18B91CF1"/>
    <w:rsid w:val="18BB3521"/>
    <w:rsid w:val="18F67D40"/>
    <w:rsid w:val="18FF6773"/>
    <w:rsid w:val="19706CFD"/>
    <w:rsid w:val="1A037B71"/>
    <w:rsid w:val="1A0F29BA"/>
    <w:rsid w:val="1A7A7E33"/>
    <w:rsid w:val="1A8C6430"/>
    <w:rsid w:val="1B586FF5"/>
    <w:rsid w:val="1BB56CAA"/>
    <w:rsid w:val="1BBB6294"/>
    <w:rsid w:val="1C5365B7"/>
    <w:rsid w:val="1D4209B0"/>
    <w:rsid w:val="1DB03826"/>
    <w:rsid w:val="1DE67509"/>
    <w:rsid w:val="1DEA7FEB"/>
    <w:rsid w:val="1E2B2AD3"/>
    <w:rsid w:val="1EAE557A"/>
    <w:rsid w:val="1F730AA4"/>
    <w:rsid w:val="1F7F21C5"/>
    <w:rsid w:val="1FAB7720"/>
    <w:rsid w:val="1FE40061"/>
    <w:rsid w:val="1FE82961"/>
    <w:rsid w:val="21827C72"/>
    <w:rsid w:val="21A47114"/>
    <w:rsid w:val="21B11354"/>
    <w:rsid w:val="220F79FB"/>
    <w:rsid w:val="221F428A"/>
    <w:rsid w:val="22AE046B"/>
    <w:rsid w:val="22E33C5C"/>
    <w:rsid w:val="22FC700C"/>
    <w:rsid w:val="24316771"/>
    <w:rsid w:val="251053AC"/>
    <w:rsid w:val="25463A59"/>
    <w:rsid w:val="25733194"/>
    <w:rsid w:val="25902C01"/>
    <w:rsid w:val="25916DB0"/>
    <w:rsid w:val="25A0694C"/>
    <w:rsid w:val="26025181"/>
    <w:rsid w:val="26375DBA"/>
    <w:rsid w:val="26683472"/>
    <w:rsid w:val="26FFA06C"/>
    <w:rsid w:val="27675BE3"/>
    <w:rsid w:val="27790924"/>
    <w:rsid w:val="27C47FCA"/>
    <w:rsid w:val="283A6E54"/>
    <w:rsid w:val="287C121A"/>
    <w:rsid w:val="289000F2"/>
    <w:rsid w:val="28BC1F5F"/>
    <w:rsid w:val="28C125D9"/>
    <w:rsid w:val="28CB3DE5"/>
    <w:rsid w:val="28F33BD2"/>
    <w:rsid w:val="28FB134B"/>
    <w:rsid w:val="29031AA8"/>
    <w:rsid w:val="29C0782D"/>
    <w:rsid w:val="29F21AAA"/>
    <w:rsid w:val="2A50312B"/>
    <w:rsid w:val="2AB32B56"/>
    <w:rsid w:val="2ACB46DB"/>
    <w:rsid w:val="2B4F051B"/>
    <w:rsid w:val="2C326E8D"/>
    <w:rsid w:val="2C50400B"/>
    <w:rsid w:val="2C871B70"/>
    <w:rsid w:val="2CD23AFF"/>
    <w:rsid w:val="2E370DC3"/>
    <w:rsid w:val="2E4D43E0"/>
    <w:rsid w:val="2F5838B9"/>
    <w:rsid w:val="2FF5459E"/>
    <w:rsid w:val="2FFB2BA8"/>
    <w:rsid w:val="30156CB2"/>
    <w:rsid w:val="30185CCC"/>
    <w:rsid w:val="30235824"/>
    <w:rsid w:val="30326EAB"/>
    <w:rsid w:val="30446AC1"/>
    <w:rsid w:val="306233EC"/>
    <w:rsid w:val="309A01EA"/>
    <w:rsid w:val="30C02D87"/>
    <w:rsid w:val="30D2329B"/>
    <w:rsid w:val="31740FBC"/>
    <w:rsid w:val="318426E7"/>
    <w:rsid w:val="31AF7290"/>
    <w:rsid w:val="31D27DF7"/>
    <w:rsid w:val="324803BF"/>
    <w:rsid w:val="328744B9"/>
    <w:rsid w:val="32A42AF1"/>
    <w:rsid w:val="32C65EB4"/>
    <w:rsid w:val="337978A6"/>
    <w:rsid w:val="33AD15D5"/>
    <w:rsid w:val="33ED56C2"/>
    <w:rsid w:val="34627E5E"/>
    <w:rsid w:val="34B87ADD"/>
    <w:rsid w:val="35332ED9"/>
    <w:rsid w:val="3619646B"/>
    <w:rsid w:val="36280C33"/>
    <w:rsid w:val="36545AE5"/>
    <w:rsid w:val="36625934"/>
    <w:rsid w:val="374D474B"/>
    <w:rsid w:val="374E79D4"/>
    <w:rsid w:val="379A16BD"/>
    <w:rsid w:val="37D51E1A"/>
    <w:rsid w:val="38007A00"/>
    <w:rsid w:val="380B1F2C"/>
    <w:rsid w:val="38153792"/>
    <w:rsid w:val="386A5533"/>
    <w:rsid w:val="38AB639C"/>
    <w:rsid w:val="38EC419A"/>
    <w:rsid w:val="394F2D71"/>
    <w:rsid w:val="39A607ED"/>
    <w:rsid w:val="3A06128C"/>
    <w:rsid w:val="3B356A8D"/>
    <w:rsid w:val="3BCF062B"/>
    <w:rsid w:val="3BDB7236"/>
    <w:rsid w:val="3D0351C4"/>
    <w:rsid w:val="3D485717"/>
    <w:rsid w:val="3D712EC0"/>
    <w:rsid w:val="3DB50FFF"/>
    <w:rsid w:val="3DBB238D"/>
    <w:rsid w:val="3E1F757A"/>
    <w:rsid w:val="3EED1958"/>
    <w:rsid w:val="3EFA04A2"/>
    <w:rsid w:val="3F1C5CDE"/>
    <w:rsid w:val="3F597B5A"/>
    <w:rsid w:val="3F924766"/>
    <w:rsid w:val="3FD31C33"/>
    <w:rsid w:val="3FDF1AD9"/>
    <w:rsid w:val="4012098A"/>
    <w:rsid w:val="40CA6C24"/>
    <w:rsid w:val="40F63E08"/>
    <w:rsid w:val="41C73B79"/>
    <w:rsid w:val="421E2CB3"/>
    <w:rsid w:val="424A09C0"/>
    <w:rsid w:val="4250579A"/>
    <w:rsid w:val="42611755"/>
    <w:rsid w:val="42905431"/>
    <w:rsid w:val="42D43784"/>
    <w:rsid w:val="433C7323"/>
    <w:rsid w:val="437FDD22"/>
    <w:rsid w:val="43CD46A5"/>
    <w:rsid w:val="43DD4E0B"/>
    <w:rsid w:val="43F82B94"/>
    <w:rsid w:val="443D1D4E"/>
    <w:rsid w:val="449B1951"/>
    <w:rsid w:val="44B03976"/>
    <w:rsid w:val="44CC2B6C"/>
    <w:rsid w:val="44EB79FC"/>
    <w:rsid w:val="451156AE"/>
    <w:rsid w:val="452854C4"/>
    <w:rsid w:val="45352A25"/>
    <w:rsid w:val="458824B3"/>
    <w:rsid w:val="459A7D41"/>
    <w:rsid w:val="45E11170"/>
    <w:rsid w:val="461A028F"/>
    <w:rsid w:val="461F0979"/>
    <w:rsid w:val="46565349"/>
    <w:rsid w:val="465D5804"/>
    <w:rsid w:val="470923BB"/>
    <w:rsid w:val="471D463A"/>
    <w:rsid w:val="471F593F"/>
    <w:rsid w:val="476B4898"/>
    <w:rsid w:val="476D3FBE"/>
    <w:rsid w:val="47DE55F6"/>
    <w:rsid w:val="47FB78F3"/>
    <w:rsid w:val="486B42DC"/>
    <w:rsid w:val="48DA2AB5"/>
    <w:rsid w:val="49570A4A"/>
    <w:rsid w:val="49851FB0"/>
    <w:rsid w:val="49AD6BEC"/>
    <w:rsid w:val="49C13A63"/>
    <w:rsid w:val="4A1947CF"/>
    <w:rsid w:val="4A62250E"/>
    <w:rsid w:val="4A636210"/>
    <w:rsid w:val="4A804098"/>
    <w:rsid w:val="4A91694F"/>
    <w:rsid w:val="4AB32D6A"/>
    <w:rsid w:val="4AF524D1"/>
    <w:rsid w:val="4B431238"/>
    <w:rsid w:val="4C20684D"/>
    <w:rsid w:val="4C2509E9"/>
    <w:rsid w:val="4C3F522E"/>
    <w:rsid w:val="4C7778EE"/>
    <w:rsid w:val="4C7C4E9D"/>
    <w:rsid w:val="4C9A32F2"/>
    <w:rsid w:val="4CD445B7"/>
    <w:rsid w:val="4D027691"/>
    <w:rsid w:val="4D2A27C8"/>
    <w:rsid w:val="4D3393DB"/>
    <w:rsid w:val="4D4838B3"/>
    <w:rsid w:val="4D8E3283"/>
    <w:rsid w:val="4DB841F3"/>
    <w:rsid w:val="4E047438"/>
    <w:rsid w:val="4E41068C"/>
    <w:rsid w:val="4E7116BE"/>
    <w:rsid w:val="4E7D7917"/>
    <w:rsid w:val="4E824F2D"/>
    <w:rsid w:val="4E8471A5"/>
    <w:rsid w:val="4EB014AF"/>
    <w:rsid w:val="4EDB4AFB"/>
    <w:rsid w:val="4EE32313"/>
    <w:rsid w:val="4EFB1622"/>
    <w:rsid w:val="4F121247"/>
    <w:rsid w:val="4F477754"/>
    <w:rsid w:val="4F480B02"/>
    <w:rsid w:val="4F4E3061"/>
    <w:rsid w:val="4FB00DC3"/>
    <w:rsid w:val="4FB8497E"/>
    <w:rsid w:val="4FF98E84"/>
    <w:rsid w:val="4FFF25AD"/>
    <w:rsid w:val="50772144"/>
    <w:rsid w:val="50AA7D4B"/>
    <w:rsid w:val="50DE503B"/>
    <w:rsid w:val="51594548"/>
    <w:rsid w:val="516F6B28"/>
    <w:rsid w:val="51F44A10"/>
    <w:rsid w:val="5202191A"/>
    <w:rsid w:val="52085A22"/>
    <w:rsid w:val="521805E7"/>
    <w:rsid w:val="528E1C36"/>
    <w:rsid w:val="52CB56EE"/>
    <w:rsid w:val="53226CDE"/>
    <w:rsid w:val="534C3D5B"/>
    <w:rsid w:val="53B931EA"/>
    <w:rsid w:val="53C2298C"/>
    <w:rsid w:val="53C33E51"/>
    <w:rsid w:val="54435882"/>
    <w:rsid w:val="545C7FCE"/>
    <w:rsid w:val="547005C9"/>
    <w:rsid w:val="548A223D"/>
    <w:rsid w:val="54F621D1"/>
    <w:rsid w:val="55391960"/>
    <w:rsid w:val="554C0043"/>
    <w:rsid w:val="55A23819"/>
    <w:rsid w:val="55A41C2D"/>
    <w:rsid w:val="55BB0D24"/>
    <w:rsid w:val="55D87B28"/>
    <w:rsid w:val="55FA6473"/>
    <w:rsid w:val="56073F6A"/>
    <w:rsid w:val="56326065"/>
    <w:rsid w:val="5661367A"/>
    <w:rsid w:val="567850C0"/>
    <w:rsid w:val="575760FB"/>
    <w:rsid w:val="575D443C"/>
    <w:rsid w:val="57A859DE"/>
    <w:rsid w:val="57B343A9"/>
    <w:rsid w:val="57E00F16"/>
    <w:rsid w:val="581A1E64"/>
    <w:rsid w:val="58D565A1"/>
    <w:rsid w:val="590E1346"/>
    <w:rsid w:val="59746245"/>
    <w:rsid w:val="5A184997"/>
    <w:rsid w:val="5A3B2810"/>
    <w:rsid w:val="5A6E65CB"/>
    <w:rsid w:val="5A7E7705"/>
    <w:rsid w:val="5A9267F7"/>
    <w:rsid w:val="5AAC27D3"/>
    <w:rsid w:val="5ADD353C"/>
    <w:rsid w:val="5B366579"/>
    <w:rsid w:val="5B4619A9"/>
    <w:rsid w:val="5B4FD1C0"/>
    <w:rsid w:val="5B887CE3"/>
    <w:rsid w:val="5BD47E09"/>
    <w:rsid w:val="5C1D6157"/>
    <w:rsid w:val="5CF54B1C"/>
    <w:rsid w:val="5CFE7C5A"/>
    <w:rsid w:val="5DA7106A"/>
    <w:rsid w:val="5DAB167E"/>
    <w:rsid w:val="5DBE6873"/>
    <w:rsid w:val="5DC0696F"/>
    <w:rsid w:val="5DF82331"/>
    <w:rsid w:val="5E5341F0"/>
    <w:rsid w:val="5E851C93"/>
    <w:rsid w:val="5F28567D"/>
    <w:rsid w:val="5F4D50E3"/>
    <w:rsid w:val="5F8356D4"/>
    <w:rsid w:val="5F881F5E"/>
    <w:rsid w:val="5FC1162D"/>
    <w:rsid w:val="5FC66C44"/>
    <w:rsid w:val="5FE163CF"/>
    <w:rsid w:val="60951CDA"/>
    <w:rsid w:val="60A800F7"/>
    <w:rsid w:val="60B46A9C"/>
    <w:rsid w:val="60C90799"/>
    <w:rsid w:val="613B5FAF"/>
    <w:rsid w:val="6223159D"/>
    <w:rsid w:val="62845DE6"/>
    <w:rsid w:val="62BE0525"/>
    <w:rsid w:val="62DF52F7"/>
    <w:rsid w:val="62F029CF"/>
    <w:rsid w:val="63A54DCF"/>
    <w:rsid w:val="63BF59E2"/>
    <w:rsid w:val="63C52EBF"/>
    <w:rsid w:val="63F87992"/>
    <w:rsid w:val="64D67929"/>
    <w:rsid w:val="65133ADC"/>
    <w:rsid w:val="65927070"/>
    <w:rsid w:val="65AC493D"/>
    <w:rsid w:val="65AE61B0"/>
    <w:rsid w:val="662363B3"/>
    <w:rsid w:val="667016B7"/>
    <w:rsid w:val="66A852F5"/>
    <w:rsid w:val="66BD47F1"/>
    <w:rsid w:val="66DC5F15"/>
    <w:rsid w:val="673D196D"/>
    <w:rsid w:val="67A4173C"/>
    <w:rsid w:val="67F7A671"/>
    <w:rsid w:val="67FD6F7B"/>
    <w:rsid w:val="683C5113"/>
    <w:rsid w:val="6851020D"/>
    <w:rsid w:val="68646820"/>
    <w:rsid w:val="68FB5BB0"/>
    <w:rsid w:val="69971A08"/>
    <w:rsid w:val="6A042842"/>
    <w:rsid w:val="6A470044"/>
    <w:rsid w:val="6AAF4C95"/>
    <w:rsid w:val="6ACE2F9A"/>
    <w:rsid w:val="6B0A7783"/>
    <w:rsid w:val="6B367D21"/>
    <w:rsid w:val="6C1369DD"/>
    <w:rsid w:val="6C3867D3"/>
    <w:rsid w:val="6CF45270"/>
    <w:rsid w:val="6CF7043C"/>
    <w:rsid w:val="6D374555"/>
    <w:rsid w:val="6D571067"/>
    <w:rsid w:val="6D83593A"/>
    <w:rsid w:val="6DDE1B02"/>
    <w:rsid w:val="6E027099"/>
    <w:rsid w:val="6E2218B3"/>
    <w:rsid w:val="6E2E1642"/>
    <w:rsid w:val="6E4A0A40"/>
    <w:rsid w:val="6E525D8F"/>
    <w:rsid w:val="6E5A5127"/>
    <w:rsid w:val="6E885C54"/>
    <w:rsid w:val="6EA93A8B"/>
    <w:rsid w:val="6EBC36EB"/>
    <w:rsid w:val="6F1B4CC7"/>
    <w:rsid w:val="6FFE386F"/>
    <w:rsid w:val="6FFF2856"/>
    <w:rsid w:val="706A431E"/>
    <w:rsid w:val="7092523D"/>
    <w:rsid w:val="712A3491"/>
    <w:rsid w:val="714D2D21"/>
    <w:rsid w:val="71A16BBB"/>
    <w:rsid w:val="71E74F23"/>
    <w:rsid w:val="7221445D"/>
    <w:rsid w:val="72B00C0B"/>
    <w:rsid w:val="735D1BF5"/>
    <w:rsid w:val="739C7F8F"/>
    <w:rsid w:val="73BB1F02"/>
    <w:rsid w:val="73DC6F23"/>
    <w:rsid w:val="73FF5BAE"/>
    <w:rsid w:val="74B70FB3"/>
    <w:rsid w:val="74E3302B"/>
    <w:rsid w:val="7503708D"/>
    <w:rsid w:val="751D21C1"/>
    <w:rsid w:val="75530B22"/>
    <w:rsid w:val="75587EE6"/>
    <w:rsid w:val="756B061E"/>
    <w:rsid w:val="764364A0"/>
    <w:rsid w:val="76521E8D"/>
    <w:rsid w:val="76876CD5"/>
    <w:rsid w:val="76F30B63"/>
    <w:rsid w:val="771B1204"/>
    <w:rsid w:val="77786EF1"/>
    <w:rsid w:val="77A15A09"/>
    <w:rsid w:val="77A7F68E"/>
    <w:rsid w:val="78153E6C"/>
    <w:rsid w:val="78196B8C"/>
    <w:rsid w:val="785C7CED"/>
    <w:rsid w:val="786E0780"/>
    <w:rsid w:val="79534C4C"/>
    <w:rsid w:val="79DC545C"/>
    <w:rsid w:val="79E166FC"/>
    <w:rsid w:val="7A7D5483"/>
    <w:rsid w:val="7AE208B6"/>
    <w:rsid w:val="7B6B7826"/>
    <w:rsid w:val="7B8D7B7F"/>
    <w:rsid w:val="7B9547CC"/>
    <w:rsid w:val="7BAF6FA3"/>
    <w:rsid w:val="7BCA1D64"/>
    <w:rsid w:val="7CA26407"/>
    <w:rsid w:val="7CA3413D"/>
    <w:rsid w:val="7CB63765"/>
    <w:rsid w:val="7CBECCF9"/>
    <w:rsid w:val="7CDD3EDD"/>
    <w:rsid w:val="7D277B53"/>
    <w:rsid w:val="7D2E2D12"/>
    <w:rsid w:val="7D983094"/>
    <w:rsid w:val="7DDB3462"/>
    <w:rsid w:val="7DF34C50"/>
    <w:rsid w:val="7DFAA616"/>
    <w:rsid w:val="7DFC1255"/>
    <w:rsid w:val="7E0E55E6"/>
    <w:rsid w:val="7EF127D4"/>
    <w:rsid w:val="7F0D1D41"/>
    <w:rsid w:val="7F351F39"/>
    <w:rsid w:val="7F7B044E"/>
    <w:rsid w:val="7FAE69AA"/>
    <w:rsid w:val="7FBF128D"/>
    <w:rsid w:val="7FD97D73"/>
    <w:rsid w:val="7FF2EE33"/>
    <w:rsid w:val="7FFF0ECC"/>
    <w:rsid w:val="971B94BD"/>
    <w:rsid w:val="B2FB8B6B"/>
    <w:rsid w:val="B3FE995D"/>
    <w:rsid w:val="B4B53EED"/>
    <w:rsid w:val="BB6EC6BB"/>
    <w:rsid w:val="BDDB5A85"/>
    <w:rsid w:val="C6BFB70B"/>
    <w:rsid w:val="C6C775CE"/>
    <w:rsid w:val="CFEF8257"/>
    <w:rsid w:val="D6BF1551"/>
    <w:rsid w:val="DBAE496E"/>
    <w:rsid w:val="E14F390E"/>
    <w:rsid w:val="E1BD94FE"/>
    <w:rsid w:val="EF1BA115"/>
    <w:rsid w:val="EFFF4439"/>
    <w:rsid w:val="FBFF3F7F"/>
    <w:rsid w:val="FEEFFBF3"/>
    <w:rsid w:val="FF7F8006"/>
    <w:rsid w:val="FFFFA6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34"/>
    <w:qFormat/>
    <w:uiPriority w:val="0"/>
    <w:pPr>
      <w:jc w:val="left"/>
    </w:pPr>
  </w:style>
  <w:style w:type="paragraph" w:styleId="3">
    <w:name w:val="Body Text"/>
    <w:basedOn w:val="1"/>
    <w:next w:val="4"/>
    <w:autoRedefine/>
    <w:qFormat/>
    <w:uiPriority w:val="0"/>
    <w:pPr>
      <w:spacing w:after="120"/>
    </w:pPr>
    <w:rPr>
      <w:rFonts w:ascii="Times New Roman" w:hAnsi="Times New Roman"/>
    </w:rPr>
  </w:style>
  <w:style w:type="paragraph" w:customStyle="1" w:styleId="4">
    <w:name w:val="目录 11"/>
    <w:next w:val="1"/>
    <w:autoRedefine/>
    <w:qFormat/>
    <w:uiPriority w:val="0"/>
    <w:pPr>
      <w:wordWrap w:val="0"/>
      <w:jc w:val="both"/>
    </w:pPr>
    <w:rPr>
      <w:rFonts w:ascii="Times New Roman" w:hAnsi="Times New Roman" w:eastAsia="宋体" w:cs="Times New Roman"/>
      <w:sz w:val="21"/>
      <w:szCs w:val="22"/>
      <w:lang w:val="en-US" w:eastAsia="zh-CN" w:bidi="ar-SA"/>
    </w:rPr>
  </w:style>
  <w:style w:type="paragraph" w:styleId="5">
    <w:name w:val="Body Text Indent"/>
    <w:basedOn w:val="1"/>
    <w:autoRedefine/>
    <w:qFormat/>
    <w:uiPriority w:val="0"/>
    <w:pPr>
      <w:ind w:firstLine="560" w:firstLineChars="200"/>
    </w:pPr>
    <w:rPr>
      <w:rFonts w:ascii="宋体" w:hAnsi="宋体"/>
      <w:sz w:val="28"/>
    </w:rPr>
  </w:style>
  <w:style w:type="paragraph" w:styleId="6">
    <w:name w:val="Plain Text"/>
    <w:basedOn w:val="1"/>
    <w:autoRedefine/>
    <w:unhideWhenUsed/>
    <w:qFormat/>
    <w:uiPriority w:val="99"/>
    <w:rPr>
      <w:rFonts w:ascii="宋体" w:hAnsi="Courier New"/>
    </w:rPr>
  </w:style>
  <w:style w:type="paragraph" w:styleId="7">
    <w:name w:val="Balloon Text"/>
    <w:basedOn w:val="1"/>
    <w:link w:val="36"/>
    <w:autoRedefine/>
    <w:qFormat/>
    <w:uiPriority w:val="0"/>
    <w:rPr>
      <w:sz w:val="18"/>
      <w:szCs w:val="18"/>
    </w:rPr>
  </w:style>
  <w:style w:type="paragraph" w:styleId="8">
    <w:name w:val="footer"/>
    <w:basedOn w:val="1"/>
    <w:link w:val="38"/>
    <w:autoRedefine/>
    <w:qFormat/>
    <w:uiPriority w:val="0"/>
    <w:pPr>
      <w:tabs>
        <w:tab w:val="center" w:pos="4153"/>
        <w:tab w:val="right" w:pos="8306"/>
      </w:tabs>
      <w:snapToGrid w:val="0"/>
      <w:jc w:val="left"/>
    </w:pPr>
    <w:rPr>
      <w:sz w:val="18"/>
      <w:szCs w:val="18"/>
    </w:rPr>
  </w:style>
  <w:style w:type="paragraph" w:styleId="9">
    <w:name w:val="header"/>
    <w:basedOn w:val="1"/>
    <w:link w:val="3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index 9"/>
    <w:basedOn w:val="1"/>
    <w:next w:val="1"/>
    <w:autoRedefine/>
    <w:qFormat/>
    <w:uiPriority w:val="0"/>
    <w:pPr>
      <w:ind w:left="1600" w:leftChars="1600"/>
    </w:pPr>
  </w:style>
  <w:style w:type="paragraph" w:styleId="1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autoRedefine/>
    <w:qFormat/>
    <w:uiPriority w:val="0"/>
    <w:pPr>
      <w:spacing w:beforeAutospacing="1" w:afterAutospacing="1"/>
      <w:jc w:val="left"/>
    </w:pPr>
    <w:rPr>
      <w:kern w:val="0"/>
      <w:sz w:val="24"/>
    </w:rPr>
  </w:style>
  <w:style w:type="paragraph" w:styleId="13">
    <w:name w:val="annotation subject"/>
    <w:basedOn w:val="2"/>
    <w:next w:val="2"/>
    <w:link w:val="35"/>
    <w:autoRedefine/>
    <w:qFormat/>
    <w:uiPriority w:val="0"/>
    <w:rPr>
      <w:b/>
      <w:bCs/>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Emphasis"/>
    <w:basedOn w:val="16"/>
    <w:qFormat/>
    <w:uiPriority w:val="0"/>
    <w:rPr>
      <w:i/>
    </w:rPr>
  </w:style>
  <w:style w:type="character" w:styleId="19">
    <w:name w:val="Hyperlink"/>
    <w:basedOn w:val="16"/>
    <w:autoRedefine/>
    <w:qFormat/>
    <w:uiPriority w:val="0"/>
    <w:rPr>
      <w:color w:val="0000FF"/>
      <w:u w:val="single"/>
    </w:rPr>
  </w:style>
  <w:style w:type="character" w:styleId="20">
    <w:name w:val="annotation reference"/>
    <w:basedOn w:val="16"/>
    <w:autoRedefine/>
    <w:qFormat/>
    <w:uiPriority w:val="0"/>
    <w:rPr>
      <w:sz w:val="21"/>
      <w:szCs w:val="21"/>
    </w:rPr>
  </w:style>
  <w:style w:type="character" w:customStyle="1" w:styleId="21">
    <w:name w:val="font41"/>
    <w:basedOn w:val="16"/>
    <w:autoRedefine/>
    <w:qFormat/>
    <w:uiPriority w:val="0"/>
    <w:rPr>
      <w:rFonts w:hint="eastAsia" w:ascii="仿宋_GB2312" w:eastAsia="仿宋_GB2312" w:cs="仿宋_GB2312"/>
      <w:b/>
      <w:color w:val="000000"/>
      <w:sz w:val="28"/>
      <w:szCs w:val="28"/>
      <w:u w:val="none"/>
    </w:rPr>
  </w:style>
  <w:style w:type="character" w:customStyle="1" w:styleId="22">
    <w:name w:val="font91"/>
    <w:basedOn w:val="16"/>
    <w:autoRedefine/>
    <w:qFormat/>
    <w:uiPriority w:val="0"/>
    <w:rPr>
      <w:rFonts w:hint="eastAsia" w:ascii="仿宋_GB2312" w:eastAsia="仿宋_GB2312" w:cs="仿宋_GB2312"/>
      <w:color w:val="000000"/>
      <w:sz w:val="28"/>
      <w:szCs w:val="28"/>
      <w:u w:val="none"/>
    </w:rPr>
  </w:style>
  <w:style w:type="character" w:customStyle="1" w:styleId="23">
    <w:name w:val="font81"/>
    <w:basedOn w:val="16"/>
    <w:autoRedefine/>
    <w:qFormat/>
    <w:uiPriority w:val="0"/>
    <w:rPr>
      <w:rFonts w:hint="eastAsia" w:ascii="仿宋_GB2312" w:eastAsia="仿宋_GB2312" w:cs="仿宋_GB2312"/>
      <w:color w:val="000000"/>
      <w:sz w:val="28"/>
      <w:szCs w:val="28"/>
      <w:u w:val="none"/>
    </w:rPr>
  </w:style>
  <w:style w:type="character" w:customStyle="1" w:styleId="24">
    <w:name w:val="font101"/>
    <w:basedOn w:val="16"/>
    <w:qFormat/>
    <w:uiPriority w:val="0"/>
    <w:rPr>
      <w:rFonts w:hint="eastAsia" w:ascii="宋体" w:hAnsi="宋体" w:eastAsia="宋体" w:cs="宋体"/>
      <w:color w:val="000000"/>
      <w:sz w:val="28"/>
      <w:szCs w:val="28"/>
      <w:u w:val="none"/>
    </w:rPr>
  </w:style>
  <w:style w:type="character" w:customStyle="1" w:styleId="25">
    <w:name w:val="font112"/>
    <w:basedOn w:val="16"/>
    <w:autoRedefine/>
    <w:qFormat/>
    <w:uiPriority w:val="0"/>
    <w:rPr>
      <w:rFonts w:ascii="Tahoma" w:hAnsi="Tahoma" w:eastAsia="Tahoma" w:cs="Tahoma"/>
      <w:color w:val="000000"/>
      <w:sz w:val="28"/>
      <w:szCs w:val="28"/>
      <w:u w:val="none"/>
    </w:rPr>
  </w:style>
  <w:style w:type="character" w:customStyle="1" w:styleId="26">
    <w:name w:val="font11"/>
    <w:basedOn w:val="16"/>
    <w:autoRedefine/>
    <w:qFormat/>
    <w:uiPriority w:val="0"/>
    <w:rPr>
      <w:rFonts w:hint="eastAsia" w:ascii="仿宋_GB2312" w:eastAsia="仿宋_GB2312" w:cs="仿宋_GB2312"/>
      <w:color w:val="000000"/>
      <w:sz w:val="28"/>
      <w:szCs w:val="28"/>
      <w:u w:val="none"/>
      <w:vertAlign w:val="subscript"/>
    </w:rPr>
  </w:style>
  <w:style w:type="character" w:customStyle="1" w:styleId="27">
    <w:name w:val="font61"/>
    <w:basedOn w:val="16"/>
    <w:autoRedefine/>
    <w:qFormat/>
    <w:uiPriority w:val="0"/>
    <w:rPr>
      <w:rFonts w:hint="eastAsia" w:ascii="仿宋_GB2312" w:eastAsia="仿宋_GB2312" w:cs="仿宋_GB2312"/>
      <w:b/>
      <w:color w:val="000000"/>
      <w:sz w:val="28"/>
      <w:szCs w:val="28"/>
      <w:u w:val="none"/>
    </w:rPr>
  </w:style>
  <w:style w:type="character" w:customStyle="1" w:styleId="28">
    <w:name w:val="font71"/>
    <w:basedOn w:val="16"/>
    <w:autoRedefine/>
    <w:qFormat/>
    <w:uiPriority w:val="0"/>
    <w:rPr>
      <w:rFonts w:hint="eastAsia" w:ascii="仿宋_GB2312" w:eastAsia="仿宋_GB2312" w:cs="仿宋_GB2312"/>
      <w:color w:val="000000"/>
      <w:sz w:val="28"/>
      <w:szCs w:val="28"/>
      <w:u w:val="none"/>
    </w:rPr>
  </w:style>
  <w:style w:type="character" w:customStyle="1" w:styleId="29">
    <w:name w:val="font31"/>
    <w:basedOn w:val="16"/>
    <w:qFormat/>
    <w:uiPriority w:val="0"/>
    <w:rPr>
      <w:rFonts w:hint="default" w:ascii="DejaVu Sans" w:hAnsi="DejaVu Sans" w:eastAsia="DejaVu Sans" w:cs="DejaVu Sans"/>
      <w:color w:val="000000"/>
      <w:sz w:val="28"/>
      <w:szCs w:val="28"/>
      <w:u w:val="none"/>
    </w:rPr>
  </w:style>
  <w:style w:type="character" w:customStyle="1" w:styleId="30">
    <w:name w:val="font01"/>
    <w:basedOn w:val="16"/>
    <w:autoRedefine/>
    <w:qFormat/>
    <w:uiPriority w:val="0"/>
    <w:rPr>
      <w:rFonts w:hint="eastAsia" w:ascii="仿宋_GB2312" w:eastAsia="仿宋_GB2312" w:cs="仿宋_GB2312"/>
      <w:color w:val="000000"/>
      <w:sz w:val="28"/>
      <w:szCs w:val="28"/>
      <w:u w:val="none"/>
      <w:vertAlign w:val="superscript"/>
    </w:rPr>
  </w:style>
  <w:style w:type="character" w:customStyle="1" w:styleId="31">
    <w:name w:val="font21"/>
    <w:basedOn w:val="16"/>
    <w:autoRedefine/>
    <w:qFormat/>
    <w:uiPriority w:val="0"/>
    <w:rPr>
      <w:rFonts w:hint="eastAsia" w:ascii="仿宋_GB2312" w:eastAsia="仿宋_GB2312" w:cs="仿宋_GB2312"/>
      <w:color w:val="000000"/>
      <w:sz w:val="28"/>
      <w:szCs w:val="28"/>
      <w:u w:val="none"/>
    </w:rPr>
  </w:style>
  <w:style w:type="paragraph" w:styleId="32">
    <w:name w:val="List Paragraph"/>
    <w:basedOn w:val="1"/>
    <w:qFormat/>
    <w:uiPriority w:val="34"/>
    <w:pPr>
      <w:ind w:firstLine="420" w:firstLineChars="200"/>
    </w:pPr>
  </w:style>
  <w:style w:type="paragraph" w:customStyle="1" w:styleId="33">
    <w:name w:val="_Style 4"/>
    <w:basedOn w:val="1"/>
    <w:qFormat/>
    <w:uiPriority w:val="0"/>
    <w:pPr>
      <w:tabs>
        <w:tab w:val="left" w:pos="432"/>
      </w:tabs>
      <w:spacing w:line="400" w:lineRule="exact"/>
      <w:ind w:left="432" w:hanging="432"/>
    </w:pPr>
    <w:rPr>
      <w:rFonts w:ascii="Times New Roman" w:hAnsi="Times New Roman" w:eastAsia="仿宋_GB2312"/>
      <w:spacing w:val="-6"/>
      <w:sz w:val="32"/>
      <w:szCs w:val="20"/>
    </w:rPr>
  </w:style>
  <w:style w:type="character" w:customStyle="1" w:styleId="34">
    <w:name w:val="批注文字 字符"/>
    <w:basedOn w:val="16"/>
    <w:link w:val="2"/>
    <w:qFormat/>
    <w:uiPriority w:val="0"/>
    <w:rPr>
      <w:kern w:val="2"/>
      <w:sz w:val="21"/>
      <w:szCs w:val="22"/>
    </w:rPr>
  </w:style>
  <w:style w:type="character" w:customStyle="1" w:styleId="35">
    <w:name w:val="批注主题 字符"/>
    <w:basedOn w:val="34"/>
    <w:link w:val="13"/>
    <w:qFormat/>
    <w:uiPriority w:val="0"/>
    <w:rPr>
      <w:b/>
      <w:bCs/>
      <w:kern w:val="2"/>
      <w:sz w:val="21"/>
      <w:szCs w:val="22"/>
    </w:rPr>
  </w:style>
  <w:style w:type="character" w:customStyle="1" w:styleId="36">
    <w:name w:val="批注框文本 字符"/>
    <w:basedOn w:val="16"/>
    <w:link w:val="7"/>
    <w:autoRedefine/>
    <w:qFormat/>
    <w:uiPriority w:val="0"/>
    <w:rPr>
      <w:kern w:val="2"/>
      <w:sz w:val="18"/>
      <w:szCs w:val="18"/>
    </w:rPr>
  </w:style>
  <w:style w:type="character" w:customStyle="1" w:styleId="37">
    <w:name w:val="页眉 字符"/>
    <w:basedOn w:val="16"/>
    <w:link w:val="9"/>
    <w:qFormat/>
    <w:uiPriority w:val="0"/>
    <w:rPr>
      <w:kern w:val="2"/>
      <w:sz w:val="18"/>
      <w:szCs w:val="18"/>
    </w:rPr>
  </w:style>
  <w:style w:type="character" w:customStyle="1" w:styleId="38">
    <w:name w:val="页脚 字符"/>
    <w:basedOn w:val="16"/>
    <w:link w:val="8"/>
    <w:qFormat/>
    <w:uiPriority w:val="0"/>
    <w:rPr>
      <w:kern w:val="2"/>
      <w:sz w:val="18"/>
      <w:szCs w:val="18"/>
    </w:rPr>
  </w:style>
  <w:style w:type="paragraph" w:customStyle="1" w:styleId="39">
    <w:name w:val="列出段落1"/>
    <w:basedOn w:val="1"/>
    <w:autoRedefine/>
    <w:qFormat/>
    <w:uiPriority w:val="34"/>
    <w:pPr>
      <w:ind w:firstLine="420" w:firstLineChars="200"/>
    </w:pPr>
    <w:rPr>
      <w:rFonts w:ascii="Times New Roman" w:hAnsi="Times New Roman" w:eastAsia="仿宋_GB2312"/>
      <w:sz w:val="32"/>
    </w:rPr>
  </w:style>
  <w:style w:type="paragraph" w:customStyle="1" w:styleId="40">
    <w:name w:val="样式1"/>
    <w:basedOn w:val="1"/>
    <w:qFormat/>
    <w:uiPriority w:val="0"/>
    <w:pPr>
      <w:adjustRightInd w:val="0"/>
      <w:snapToGrid w:val="0"/>
      <w:spacing w:beforeLines="50"/>
      <w:jc w:val="left"/>
    </w:pPr>
    <w:rPr>
      <w:rFonts w:ascii="宋体" w:hAnsi="宋体"/>
      <w:snapToGrid w:val="0"/>
      <w:kern w:val="0"/>
      <w:szCs w:val="30"/>
    </w:rPr>
  </w:style>
  <w:style w:type="paragraph" w:customStyle="1" w:styleId="41">
    <w:name w:val="Revision"/>
    <w:autoRedefine/>
    <w:hidden/>
    <w:unhideWhenUsed/>
    <w:qFormat/>
    <w:uiPriority w:val="99"/>
    <w:rPr>
      <w:rFonts w:ascii="Calibri" w:hAnsi="Calibri" w:eastAsia="宋体" w:cs="Times New Roman"/>
      <w:kern w:val="2"/>
      <w:sz w:val="21"/>
      <w:szCs w:val="22"/>
      <w:lang w:val="en-US" w:eastAsia="zh-CN" w:bidi="ar-SA"/>
    </w:rPr>
  </w:style>
  <w:style w:type="character" w:customStyle="1" w:styleId="42">
    <w:name w:val="font51"/>
    <w:basedOn w:val="16"/>
    <w:autoRedefine/>
    <w:qFormat/>
    <w:uiPriority w:val="0"/>
    <w:rPr>
      <w:rFonts w:hint="eastAsia" w:ascii="微软雅黑" w:hAnsi="微软雅黑" w:eastAsia="微软雅黑" w:cs="微软雅黑"/>
      <w:color w:val="000000"/>
      <w:sz w:val="20"/>
      <w:szCs w:val="20"/>
      <w:u w:val="none"/>
    </w:rPr>
  </w:style>
  <w:style w:type="character" w:customStyle="1" w:styleId="43">
    <w:name w:val="17"/>
    <w:basedOn w:val="16"/>
    <w:autoRedefine/>
    <w:qFormat/>
    <w:uiPriority w:val="0"/>
    <w:rPr>
      <w:rFonts w:hint="default" w:ascii="Times New Roman" w:hAnsi="Times New Roman" w:cs="Times New Roman"/>
      <w:color w:val="0000FF"/>
      <w:u w:val="single"/>
    </w:rPr>
  </w:style>
  <w:style w:type="character" w:customStyle="1" w:styleId="44">
    <w:name w:val="16"/>
    <w:basedOn w:val="16"/>
    <w:autoRedefine/>
    <w:qFormat/>
    <w:uiPriority w:val="0"/>
    <w:rPr>
      <w:rFonts w:hint="eastAsia" w:ascii="微软雅黑" w:hAnsi="微软雅黑" w:eastAsia="微软雅黑" w:cs="微软雅黑"/>
      <w:b/>
      <w:bCs/>
      <w:color w:val="000000"/>
      <w:sz w:val="20"/>
      <w:szCs w:val="20"/>
    </w:rPr>
  </w:style>
  <w:style w:type="character" w:customStyle="1" w:styleId="45">
    <w:name w:val="10"/>
    <w:basedOn w:val="16"/>
    <w:autoRedefine/>
    <w:qFormat/>
    <w:uiPriority w:val="0"/>
    <w:rPr>
      <w:rFonts w:hint="default" w:ascii="Times New Roman" w:hAnsi="Times New Roman" w:cs="Times New Roman"/>
    </w:rPr>
  </w:style>
  <w:style w:type="character" w:customStyle="1" w:styleId="46">
    <w:name w:val="15"/>
    <w:basedOn w:val="16"/>
    <w:autoRedefine/>
    <w:qFormat/>
    <w:uiPriority w:val="0"/>
    <w:rPr>
      <w:rFonts w:hint="eastAsia" w:ascii="微软雅黑" w:hAnsi="微软雅黑" w:eastAsia="微软雅黑" w:cs="微软雅黑"/>
      <w:color w:val="000000"/>
      <w:sz w:val="20"/>
      <w:szCs w:val="20"/>
    </w:rPr>
  </w:style>
  <w:style w:type="paragraph" w:customStyle="1" w:styleId="47">
    <w:name w:val="p0"/>
    <w:basedOn w:val="1"/>
    <w:qFormat/>
    <w:uiPriority w:val="0"/>
    <w:pPr>
      <w:widowControl/>
    </w:pPr>
    <w:rPr>
      <w:rFonts w:eastAsia="宋体"/>
      <w:kern w:val="0"/>
      <w:szCs w:val="32"/>
    </w:rPr>
  </w:style>
  <w:style w:type="paragraph" w:customStyle="1" w:styleId="48">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5034</Words>
  <Characters>5373</Characters>
  <Lines>202</Lines>
  <Paragraphs>57</Paragraphs>
  <TotalTime>2</TotalTime>
  <ScaleCrop>false</ScaleCrop>
  <LinksUpToDate>false</LinksUpToDate>
  <CharactersWithSpaces>5376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2018-07-20T15:11:00Z</dcterms:created>
  <dc:creator>d</dc:creator>
  <cp:lastModifiedBy>和力</cp:lastModifiedBy>
  <cp:lastPrinted>2023-09-28T17:33:00Z</cp:lastPrinted>
  <dcterms:modified xsi:type="dcterms:W3CDTF">2026-06-30T18:39:06Z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26F726C037479B16CA9C436A977694DB_43</vt:lpwstr>
  </property>
  <property fmtid="{D5CDD505-2E9C-101B-9397-08002B2CF9AE}" pid="4" name="KSOTemplateDocerSaveRecord">
    <vt:lpwstr>eyJoZGlkIjoiZTQ2OTIzMjllZTM4YmE5YTc0ZDRhMWI3NTAyOWZkMTMiLCJ1c2VySWQiOiIxNTg3NzQxMDkwIn0=</vt:lpwstr>
  </property>
</Properties>
</file>