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3C07">
      <w:pPr>
        <w:spacing w:line="560" w:lineRule="exact"/>
        <w:outlineLvl w:val="0"/>
        <w:rPr>
          <w:rFonts w:hint="eastAsia" w:ascii="Times New Roman" w:hAnsi="Times New Roman" w:eastAsia="黑体" w:cs="黑体"/>
          <w:color w:val="000000" w:themeColor="text1"/>
          <w:sz w:val="32"/>
          <w:szCs w:val="32"/>
          <w:highlight w:val="none"/>
          <w14:textFill>
            <w14:solidFill>
              <w14:schemeClr w14:val="tx1"/>
            </w14:solidFill>
          </w14:textFill>
        </w:rPr>
      </w:pPr>
      <w:bookmarkStart w:id="0" w:name="OLE_LINK2"/>
      <w:r>
        <w:rPr>
          <w:rFonts w:hint="eastAsia" w:ascii="Times New Roman" w:hAnsi="Times New Roman" w:eastAsia="黑体" w:cs="黑体"/>
          <w:color w:val="000000" w:themeColor="text1"/>
          <w:sz w:val="32"/>
          <w:szCs w:val="32"/>
          <w:highlight w:val="none"/>
          <w14:textFill>
            <w14:solidFill>
              <w14:schemeClr w14:val="tx1"/>
            </w14:solidFill>
          </w14:textFill>
        </w:rPr>
        <w:t>附件1</w:t>
      </w:r>
    </w:p>
    <w:p w14:paraId="734B092E">
      <w:pPr>
        <w:autoSpaceDE w:val="0"/>
        <w:adjustRightInd w:val="0"/>
        <w:snapToGrid w:val="0"/>
        <w:spacing w:line="560" w:lineRule="exact"/>
        <w:jc w:val="center"/>
        <w:rPr>
          <w:rFonts w:hint="eastAsia"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eastAsia="方正小标宋简体" w:cs="方正小标宋简体"/>
          <w:spacing w:val="-6"/>
          <w:sz w:val="44"/>
          <w:szCs w:val="44"/>
          <w:lang w:val="en-US" w:eastAsia="zh-CN"/>
        </w:rPr>
        <w:t>北京市智慧城市场景创新需求</w:t>
      </w:r>
      <w:bookmarkEnd w:id="0"/>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及联系方式</w:t>
      </w:r>
    </w:p>
    <w:tbl>
      <w:tblPr>
        <w:tblStyle w:val="14"/>
        <w:tblW w:w="5259" w:type="pct"/>
        <w:tblInd w:w="-423" w:type="dxa"/>
        <w:tblLayout w:type="fixed"/>
        <w:tblCellMar>
          <w:top w:w="0" w:type="dxa"/>
          <w:left w:w="108" w:type="dxa"/>
          <w:bottom w:w="0" w:type="dxa"/>
          <w:right w:w="108" w:type="dxa"/>
        </w:tblCellMar>
      </w:tblPr>
      <w:tblGrid>
        <w:gridCol w:w="476"/>
        <w:gridCol w:w="729"/>
        <w:gridCol w:w="937"/>
        <w:gridCol w:w="714"/>
        <w:gridCol w:w="2917"/>
        <w:gridCol w:w="4845"/>
        <w:gridCol w:w="3131"/>
        <w:gridCol w:w="1160"/>
      </w:tblGrid>
      <w:tr w14:paraId="4D637762">
        <w:tblPrEx>
          <w:tblCellMar>
            <w:top w:w="0" w:type="dxa"/>
            <w:left w:w="108" w:type="dxa"/>
            <w:bottom w:w="0" w:type="dxa"/>
            <w:right w:w="108" w:type="dxa"/>
          </w:tblCellMar>
        </w:tblPrEx>
        <w:trPr>
          <w:trHeight w:val="98" w:hRule="atLeast"/>
          <w:tblHead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C2B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序号</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107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bCs/>
                <w:color w:val="auto"/>
                <w:kern w:val="0"/>
                <w:sz w:val="22"/>
                <w:szCs w:val="22"/>
                <w:lang w:bidi="ar"/>
              </w:rPr>
            </w:pPr>
            <w:r>
              <w:rPr>
                <w:rFonts w:hint="eastAsia" w:ascii="仿宋_GB2312" w:hAnsi="仿宋_GB2312" w:eastAsia="仿宋_GB2312" w:cs="仿宋_GB2312"/>
                <w:b/>
                <w:bCs/>
                <w:color w:val="auto"/>
                <w:kern w:val="0"/>
                <w:sz w:val="22"/>
                <w:szCs w:val="22"/>
                <w:lang w:bidi="ar"/>
              </w:rPr>
              <w:t>场景</w:t>
            </w:r>
          </w:p>
          <w:p w14:paraId="35FA3B3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名称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E51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申报单位名称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BAA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bCs/>
                <w:color w:val="auto"/>
                <w:kern w:val="0"/>
                <w:sz w:val="22"/>
                <w:szCs w:val="22"/>
                <w:lang w:val="en-US" w:eastAsia="zh-CN" w:bidi="ar"/>
              </w:rPr>
            </w:pPr>
            <w:r>
              <w:rPr>
                <w:rFonts w:hint="eastAsia" w:ascii="仿宋_GB2312" w:hAnsi="仿宋_GB2312" w:eastAsia="仿宋_GB2312" w:cs="仿宋_GB2312"/>
                <w:b/>
                <w:bCs/>
                <w:color w:val="auto"/>
                <w:kern w:val="0"/>
                <w:sz w:val="22"/>
                <w:szCs w:val="22"/>
                <w:lang w:val="en-US" w:eastAsia="zh-CN" w:bidi="ar"/>
              </w:rPr>
              <w:t>场景类型</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388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场景描述</w:t>
            </w:r>
          </w:p>
        </w:tc>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9CB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场景现状</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C4B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场景创新点</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436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kern w:val="0"/>
                <w:sz w:val="22"/>
                <w:szCs w:val="22"/>
                <w:lang w:val="en-US" w:eastAsia="zh-CN" w:bidi="ar"/>
              </w:rPr>
            </w:pPr>
            <w:r>
              <w:rPr>
                <w:rFonts w:hint="eastAsia" w:ascii="仿宋_GB2312" w:hAnsi="仿宋_GB2312" w:eastAsia="仿宋_GB2312" w:cs="仿宋_GB2312"/>
                <w:b/>
                <w:bCs/>
                <w:color w:val="auto"/>
                <w:kern w:val="0"/>
                <w:sz w:val="22"/>
                <w:szCs w:val="22"/>
                <w:lang w:val="en-US" w:eastAsia="zh-CN" w:bidi="ar"/>
              </w:rPr>
              <w:t>联系人及联系方式</w:t>
            </w:r>
          </w:p>
        </w:tc>
      </w:tr>
      <w:tr w14:paraId="0D4E0B1F">
        <w:tblPrEx>
          <w:tblCellMar>
            <w:top w:w="0" w:type="dxa"/>
            <w:left w:w="108" w:type="dxa"/>
            <w:bottom w:w="0" w:type="dxa"/>
            <w:right w:w="108" w:type="dxa"/>
          </w:tblCellMar>
        </w:tblPrEx>
        <w:trPr>
          <w:trHeight w:val="6500" w:hRule="atLeast"/>
        </w:trPr>
        <w:tc>
          <w:tcPr>
            <w:tcW w:w="159" w:type="pct"/>
            <w:tcBorders>
              <w:top w:val="single" w:color="000000" w:sz="4" w:space="0"/>
              <w:left w:val="single" w:color="000000" w:sz="4" w:space="0"/>
              <w:bottom w:val="single" w:color="000000" w:sz="4" w:space="0"/>
              <w:right w:val="single" w:color="000000" w:sz="4" w:space="0"/>
            </w:tcBorders>
            <w:vAlign w:val="center"/>
          </w:tcPr>
          <w:p w14:paraId="49AF09F6">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1</w:t>
            </w:r>
          </w:p>
        </w:tc>
        <w:tc>
          <w:tcPr>
            <w:tcW w:w="244" w:type="pct"/>
            <w:tcBorders>
              <w:top w:val="single" w:color="000000" w:sz="4" w:space="0"/>
              <w:left w:val="single" w:color="000000" w:sz="4" w:space="0"/>
              <w:bottom w:val="single" w:color="000000" w:sz="4" w:space="0"/>
              <w:right w:val="single" w:color="000000" w:sz="4" w:space="0"/>
            </w:tcBorders>
            <w:vAlign w:val="center"/>
          </w:tcPr>
          <w:p w14:paraId="4DC45ECE">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highlight w:val="none"/>
              </w:rPr>
              <w:t>统计应用领域大模型</w:t>
            </w:r>
            <w:r>
              <w:rPr>
                <w:rFonts w:hint="eastAsia" w:ascii="仿宋_GB2312" w:hAnsi="仿宋_GB2312" w:eastAsia="仿宋_GB2312" w:cs="仿宋_GB2312"/>
                <w:i w:val="0"/>
                <w:iCs w:val="0"/>
                <w:color w:val="auto"/>
                <w:sz w:val="22"/>
                <w:szCs w:val="22"/>
                <w:highlight w:val="none"/>
                <w:lang w:eastAsia="zh-CN"/>
              </w:rPr>
              <w:t>一体化</w:t>
            </w:r>
            <w:r>
              <w:rPr>
                <w:rFonts w:hint="eastAsia" w:ascii="仿宋_GB2312" w:hAnsi="仿宋_GB2312" w:eastAsia="仿宋_GB2312" w:cs="仿宋_GB2312"/>
                <w:i w:val="0"/>
                <w:iCs w:val="0"/>
                <w:color w:val="auto"/>
                <w:sz w:val="22"/>
                <w:szCs w:val="22"/>
                <w:highlight w:val="none"/>
              </w:rPr>
              <w:t>应用场景</w:t>
            </w:r>
          </w:p>
        </w:tc>
        <w:tc>
          <w:tcPr>
            <w:tcW w:w="314" w:type="pct"/>
            <w:tcBorders>
              <w:top w:val="single" w:color="000000" w:sz="4" w:space="0"/>
              <w:left w:val="single" w:color="000000" w:sz="4" w:space="0"/>
              <w:bottom w:val="single" w:color="000000" w:sz="4" w:space="0"/>
              <w:right w:val="single" w:color="000000" w:sz="4" w:space="0"/>
            </w:tcBorders>
            <w:vAlign w:val="center"/>
          </w:tcPr>
          <w:p w14:paraId="0B68462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highlight w:val="none"/>
                <w:lang w:val="en-US" w:eastAsia="zh-CN"/>
              </w:rPr>
              <w:t>市统计局</w:t>
            </w:r>
          </w:p>
        </w:tc>
        <w:tc>
          <w:tcPr>
            <w:tcW w:w="239" w:type="pct"/>
            <w:tcBorders>
              <w:top w:val="single" w:color="000000" w:sz="4" w:space="0"/>
              <w:left w:val="single" w:color="000000" w:sz="4" w:space="0"/>
              <w:bottom w:val="single" w:color="000000" w:sz="4" w:space="0"/>
              <w:right w:val="single" w:color="000000" w:sz="4" w:space="0"/>
            </w:tcBorders>
            <w:vAlign w:val="center"/>
          </w:tcPr>
          <w:p w14:paraId="62DAE71C">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数智技术类</w:t>
            </w:r>
          </w:p>
        </w:tc>
        <w:tc>
          <w:tcPr>
            <w:tcW w:w="978" w:type="pct"/>
            <w:tcBorders>
              <w:top w:val="single" w:color="000000" w:sz="4" w:space="0"/>
              <w:left w:val="single" w:color="000000" w:sz="4" w:space="0"/>
              <w:bottom w:val="single" w:color="000000" w:sz="4" w:space="0"/>
              <w:right w:val="single" w:color="000000" w:sz="4" w:space="0"/>
            </w:tcBorders>
            <w:vAlign w:val="center"/>
          </w:tcPr>
          <w:p w14:paraId="3B0E0C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0"/>
                <w:sz w:val="22"/>
                <w:szCs w:val="22"/>
                <w:u w:val="none"/>
                <w:lang w:bidi="ar"/>
              </w:rPr>
            </w:pPr>
            <w:r>
              <w:rPr>
                <w:rFonts w:hint="eastAsia" w:ascii="仿宋_GB2312" w:hAnsi="仿宋_GB2312" w:eastAsia="仿宋_GB2312" w:cs="仿宋_GB2312"/>
                <w:i w:val="0"/>
                <w:iCs w:val="0"/>
                <w:color w:val="auto"/>
                <w:kern w:val="0"/>
                <w:sz w:val="22"/>
                <w:szCs w:val="22"/>
                <w:highlight w:val="none"/>
                <w:u w:val="none"/>
                <w:lang w:val="en-US" w:eastAsia="zh-CN" w:bidi="ar"/>
              </w:rPr>
              <w:t>围绕</w:t>
            </w:r>
            <w:r>
              <w:rPr>
                <w:rStyle w:val="31"/>
                <w:rFonts w:hint="eastAsia" w:ascii="仿宋_GB2312" w:hAnsi="仿宋_GB2312" w:eastAsia="仿宋_GB2312" w:cs="仿宋_GB2312"/>
                <w:i w:val="0"/>
                <w:iCs w:val="0"/>
                <w:color w:val="auto"/>
                <w:sz w:val="22"/>
                <w:szCs w:val="22"/>
                <w:highlight w:val="none"/>
                <w:lang w:val="en-US" w:eastAsia="zh-CN" w:bidi="ar"/>
              </w:rPr>
              <w:t>统计分析与服务</w:t>
            </w:r>
            <w:r>
              <w:rPr>
                <w:rFonts w:hint="eastAsia" w:ascii="仿宋_GB2312" w:hAnsi="仿宋_GB2312" w:eastAsia="仿宋_GB2312" w:cs="仿宋_GB2312"/>
                <w:i w:val="0"/>
                <w:iCs w:val="0"/>
                <w:color w:val="auto"/>
                <w:kern w:val="0"/>
                <w:sz w:val="22"/>
                <w:szCs w:val="22"/>
                <w:highlight w:val="none"/>
                <w:u w:val="none"/>
                <w:lang w:val="en-US" w:eastAsia="zh-CN" w:bidi="ar"/>
              </w:rPr>
              <w:t>智能化需求，运用大模型、RAG、NLP等技术，构建统计专业知识库、多源数据集与标准化分析报告体系，打造统计智能报告、统计智能问答、统计智能问数三位一体的智能化应用，提供专业化统计分析报告自动生成、历史报告智能检索、统计调查指标业务精准问答、数据可视化和主要观点结果展示、数据溯源等智能辅助，全面提升统计工作效率、服务质量与决策支撑能力，推动统计工作从“人工+经验驱动”向“数据智能驱动”转型，助力首都统计现代化改革与高质量发展。</w:t>
            </w:r>
          </w:p>
        </w:tc>
        <w:tc>
          <w:tcPr>
            <w:tcW w:w="1624" w:type="pct"/>
            <w:tcBorders>
              <w:top w:val="single" w:color="000000" w:sz="4" w:space="0"/>
              <w:left w:val="single" w:color="000000" w:sz="4" w:space="0"/>
              <w:bottom w:val="single" w:color="000000" w:sz="4" w:space="0"/>
              <w:right w:val="single" w:color="000000" w:sz="4" w:space="0"/>
            </w:tcBorders>
            <w:vAlign w:val="center"/>
          </w:tcPr>
          <w:p w14:paraId="3E5AA28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ascii="仿宋_GB2312" w:hAnsi="仿宋_GB2312" w:eastAsia="仿宋_GB2312" w:cs="仿宋_GB2312"/>
                <w:i w:val="0"/>
                <w:iCs w:val="0"/>
                <w:color w:val="auto"/>
                <w:sz w:val="22"/>
                <w:szCs w:val="22"/>
                <w:highlight w:val="none"/>
                <w:lang w:val="en-US" w:eastAsia="zh-CN" w:bidi="ar"/>
              </w:rPr>
            </w:pPr>
            <w:r>
              <w:rPr>
                <w:rFonts w:hint="eastAsia" w:ascii="仿宋_GB2312" w:hAnsi="仿宋_GB2312" w:eastAsia="仿宋_GB2312" w:cs="仿宋_GB2312"/>
                <w:b/>
                <w:bCs/>
                <w:i w:val="0"/>
                <w:iCs w:val="0"/>
                <w:color w:val="auto"/>
                <w:kern w:val="2"/>
                <w:sz w:val="22"/>
                <w:szCs w:val="22"/>
                <w:lang w:val="en-US" w:eastAsia="zh-CN" w:bidi="ar"/>
              </w:rPr>
              <w:t>一、</w:t>
            </w:r>
            <w:r>
              <w:rPr>
                <w:rStyle w:val="29"/>
                <w:rFonts w:hint="eastAsia" w:ascii="仿宋_GB2312" w:hAnsi="仿宋_GB2312" w:eastAsia="仿宋_GB2312" w:cs="仿宋_GB2312"/>
                <w:b/>
                <w:bCs/>
                <w:i w:val="0"/>
                <w:iCs w:val="0"/>
                <w:color w:val="auto"/>
                <w:sz w:val="22"/>
                <w:szCs w:val="22"/>
                <w:highlight w:val="none"/>
                <w:lang w:val="en-US" w:eastAsia="zh-CN" w:bidi="ar"/>
              </w:rPr>
              <w:t>背景情况</w:t>
            </w:r>
            <w:r>
              <w:rPr>
                <w:rStyle w:val="31"/>
                <w:rFonts w:hint="eastAsia" w:ascii="仿宋_GB2312" w:hAnsi="仿宋_GB2312" w:eastAsia="仿宋_GB2312" w:cs="仿宋_GB2312"/>
                <w:i w:val="0"/>
                <w:iCs w:val="0"/>
                <w:color w:val="auto"/>
                <w:sz w:val="22"/>
                <w:szCs w:val="22"/>
                <w:highlight w:val="none"/>
                <w:lang w:val="en-US" w:eastAsia="zh-CN" w:bidi="ar"/>
              </w:rPr>
              <w:br w:type="textWrapping"/>
            </w:r>
            <w:r>
              <w:rPr>
                <w:rStyle w:val="31"/>
                <w:rFonts w:hint="eastAsia" w:ascii="仿宋_GB2312" w:hAnsi="仿宋_GB2312" w:eastAsia="仿宋_GB2312" w:cs="仿宋_GB2312"/>
                <w:i w:val="0"/>
                <w:iCs w:val="0"/>
                <w:color w:val="auto"/>
                <w:sz w:val="22"/>
                <w:szCs w:val="22"/>
                <w:highlight w:val="none"/>
                <w:lang w:val="en-US" w:eastAsia="zh-CN" w:bidi="ar"/>
              </w:rPr>
              <w:t>全市统计分析与服务任务作为常规重点工作，任务量繁重，覆盖指标分析、报告撰写、新闻发布、统计研判、业务解答等。当前业务知识与数据资源缺乏系统性整合，未形成可检索、可复用、可迭代的知识资产，难以满足高频出稿、快速研判、精准咨询、灵活查数、及时发布的统计业务需求。</w:t>
            </w:r>
            <w:r>
              <w:rPr>
                <w:rStyle w:val="31"/>
                <w:rFonts w:hint="eastAsia" w:ascii="仿宋_GB2312" w:hAnsi="仿宋_GB2312" w:eastAsia="仿宋_GB2312" w:cs="仿宋_GB2312"/>
                <w:i w:val="0"/>
                <w:iCs w:val="0"/>
                <w:color w:val="auto"/>
                <w:sz w:val="22"/>
                <w:szCs w:val="22"/>
                <w:highlight w:val="none"/>
                <w:lang w:val="en-US" w:eastAsia="zh-CN" w:bidi="ar"/>
              </w:rPr>
              <w:br w:type="textWrapping"/>
            </w:r>
            <w:r>
              <w:rPr>
                <w:rStyle w:val="29"/>
                <w:rFonts w:hint="eastAsia" w:ascii="仿宋_GB2312" w:hAnsi="仿宋_GB2312" w:eastAsia="仿宋_GB2312" w:cs="仿宋_GB2312"/>
                <w:b/>
                <w:bCs/>
                <w:i w:val="0"/>
                <w:iCs w:val="0"/>
                <w:color w:val="auto"/>
                <w:sz w:val="22"/>
                <w:szCs w:val="22"/>
                <w:highlight w:val="none"/>
                <w:lang w:val="en-US" w:eastAsia="zh-CN" w:bidi="ar"/>
              </w:rPr>
              <w:t>二、拟解决的问题</w:t>
            </w:r>
            <w:r>
              <w:rPr>
                <w:rStyle w:val="31"/>
                <w:rFonts w:hint="eastAsia" w:ascii="仿宋_GB2312" w:hAnsi="仿宋_GB2312" w:eastAsia="仿宋_GB2312" w:cs="仿宋_GB2312"/>
                <w:i w:val="0"/>
                <w:iCs w:val="0"/>
                <w:color w:val="auto"/>
                <w:sz w:val="22"/>
                <w:szCs w:val="22"/>
                <w:highlight w:val="none"/>
                <w:lang w:val="en-US" w:eastAsia="zh-CN" w:bidi="ar"/>
              </w:rPr>
              <w:br w:type="textWrapping"/>
            </w:r>
            <w:r>
              <w:rPr>
                <w:rStyle w:val="31"/>
                <w:rFonts w:hint="eastAsia" w:ascii="仿宋_GB2312" w:hAnsi="仿宋_GB2312" w:eastAsia="仿宋_GB2312" w:cs="仿宋_GB2312"/>
                <w:b/>
                <w:bCs/>
                <w:i w:val="0"/>
                <w:iCs w:val="0"/>
                <w:color w:val="auto"/>
                <w:sz w:val="22"/>
                <w:szCs w:val="22"/>
                <w:highlight w:val="none"/>
                <w:lang w:val="en-US" w:eastAsia="zh-CN" w:bidi="ar"/>
              </w:rPr>
              <w:t>1.统计分析报告撰写智能化程度不高。</w:t>
            </w:r>
            <w:r>
              <w:rPr>
                <w:rStyle w:val="31"/>
                <w:rFonts w:hint="eastAsia" w:ascii="仿宋_GB2312" w:hAnsi="仿宋_GB2312" w:eastAsia="仿宋_GB2312" w:cs="仿宋_GB2312"/>
                <w:i w:val="0"/>
                <w:iCs w:val="0"/>
                <w:color w:val="auto"/>
                <w:sz w:val="22"/>
                <w:szCs w:val="22"/>
                <w:highlight w:val="none"/>
                <w:lang w:val="en-US" w:eastAsia="zh-CN" w:bidi="ar"/>
              </w:rPr>
              <w:t>相关智能化辅助工具缺失，知识成果复用率低，需要满足历史报告主要观点检索、固定体例分析报告标准化高效撰写要求。</w:t>
            </w:r>
          </w:p>
          <w:p w14:paraId="10826B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31"/>
                <w:rFonts w:hint="eastAsia" w:ascii="仿宋_GB2312" w:hAnsi="仿宋_GB2312" w:eastAsia="仿宋_GB2312" w:cs="仿宋_GB2312"/>
                <w:i w:val="0"/>
                <w:iCs w:val="0"/>
                <w:color w:val="auto"/>
                <w:sz w:val="22"/>
                <w:szCs w:val="22"/>
                <w:highlight w:val="none"/>
                <w:lang w:val="en-US" w:eastAsia="zh-CN" w:bidi="ar"/>
              </w:rPr>
            </w:pPr>
            <w:r>
              <w:rPr>
                <w:rStyle w:val="31"/>
                <w:rFonts w:hint="eastAsia" w:ascii="仿宋_GB2312" w:hAnsi="仿宋_GB2312" w:eastAsia="仿宋_GB2312" w:cs="仿宋_GB2312"/>
                <w:b/>
                <w:bCs/>
                <w:i w:val="0"/>
                <w:iCs w:val="0"/>
                <w:color w:val="auto"/>
                <w:sz w:val="22"/>
                <w:szCs w:val="22"/>
                <w:highlight w:val="none"/>
                <w:lang w:val="en-US" w:eastAsia="zh-CN" w:bidi="ar"/>
              </w:rPr>
              <w:t>2.调查对象填报辅助服务便捷性不高</w:t>
            </w:r>
            <w:r>
              <w:rPr>
                <w:rStyle w:val="31"/>
                <w:rFonts w:hint="eastAsia" w:ascii="仿宋_GB2312" w:hAnsi="仿宋_GB2312" w:eastAsia="仿宋_GB2312" w:cs="仿宋_GB2312"/>
                <w:i w:val="0"/>
                <w:iCs w:val="0"/>
                <w:color w:val="auto"/>
                <w:sz w:val="22"/>
                <w:szCs w:val="22"/>
                <w:highlight w:val="none"/>
                <w:lang w:val="en-US" w:eastAsia="zh-CN" w:bidi="ar"/>
              </w:rPr>
              <w:t>。填报咨询量大、方式传统，需要建立全面准确、快捷高效的智能化答疑渠道，减轻人工解答负担。</w:t>
            </w:r>
          </w:p>
          <w:p w14:paraId="0F23B6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31"/>
                <w:rFonts w:hint="eastAsia" w:ascii="仿宋_GB2312" w:hAnsi="仿宋_GB2312" w:eastAsia="仿宋_GB2312" w:cs="仿宋_GB2312"/>
                <w:i w:val="0"/>
                <w:iCs w:val="0"/>
                <w:color w:val="auto"/>
                <w:sz w:val="22"/>
                <w:szCs w:val="22"/>
                <w:highlight w:val="none"/>
                <w:lang w:val="en-US" w:eastAsia="zh-CN" w:bidi="ar"/>
              </w:rPr>
            </w:pPr>
            <w:r>
              <w:rPr>
                <w:rStyle w:val="31"/>
                <w:rFonts w:hint="eastAsia" w:ascii="仿宋_GB2312" w:hAnsi="仿宋_GB2312" w:eastAsia="仿宋_GB2312" w:cs="仿宋_GB2312"/>
                <w:b/>
                <w:bCs/>
                <w:i w:val="0"/>
                <w:iCs w:val="0"/>
                <w:color w:val="auto"/>
                <w:sz w:val="22"/>
                <w:szCs w:val="22"/>
                <w:highlight w:val="none"/>
                <w:lang w:val="en-US" w:eastAsia="zh-CN" w:bidi="ar"/>
              </w:rPr>
              <w:t>3.统计数据查询归集繁杂。</w:t>
            </w:r>
            <w:r>
              <w:rPr>
                <w:rStyle w:val="31"/>
                <w:rFonts w:hint="eastAsia" w:ascii="仿宋_GB2312" w:hAnsi="仿宋_GB2312" w:eastAsia="仿宋_GB2312" w:cs="仿宋_GB2312"/>
                <w:i w:val="0"/>
                <w:iCs w:val="0"/>
                <w:color w:val="auto"/>
                <w:sz w:val="22"/>
                <w:szCs w:val="22"/>
                <w:highlight w:val="none"/>
                <w:lang w:val="en-US" w:eastAsia="zh-CN" w:bidi="ar"/>
              </w:rPr>
              <w:t>统计指标繁多、数据产品分散，尤其在跨专业、跨地区、长时间序列、关联交叉数据以及增速计算比对等方面，查找归集便利性、准确性低。</w:t>
            </w:r>
          </w:p>
          <w:p w14:paraId="163DEB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29"/>
                <w:rFonts w:hint="eastAsia" w:ascii="仿宋_GB2312" w:hAnsi="仿宋_GB2312" w:eastAsia="仿宋_GB2312" w:cs="仿宋_GB2312"/>
                <w:b w:val="0"/>
                <w:bCs w:val="0"/>
                <w:i w:val="0"/>
                <w:iCs w:val="0"/>
                <w:color w:val="auto"/>
                <w:sz w:val="22"/>
                <w:szCs w:val="22"/>
                <w:u w:val="none"/>
                <w:lang w:val="en-US" w:eastAsia="zh-CN" w:bidi="ar"/>
              </w:rPr>
            </w:pPr>
            <w:r>
              <w:rPr>
                <w:rStyle w:val="31"/>
                <w:rFonts w:hint="eastAsia" w:ascii="仿宋_GB2312" w:hAnsi="仿宋_GB2312" w:eastAsia="仿宋_GB2312" w:cs="仿宋_GB2312"/>
                <w:b/>
                <w:bCs/>
                <w:i w:val="0"/>
                <w:iCs w:val="0"/>
                <w:color w:val="auto"/>
                <w:sz w:val="22"/>
                <w:szCs w:val="22"/>
                <w:highlight w:val="none"/>
                <w:lang w:val="en-US" w:eastAsia="zh-CN" w:bidi="ar"/>
              </w:rPr>
              <w:t>4.统计专业领域高质量知识库缺乏。</w:t>
            </w:r>
            <w:r>
              <w:rPr>
                <w:rStyle w:val="31"/>
                <w:rFonts w:hint="eastAsia" w:ascii="仿宋_GB2312" w:hAnsi="仿宋_GB2312" w:eastAsia="仿宋_GB2312" w:cs="仿宋_GB2312"/>
                <w:i w:val="0"/>
                <w:iCs w:val="0"/>
                <w:color w:val="auto"/>
                <w:sz w:val="22"/>
                <w:szCs w:val="22"/>
                <w:highlight w:val="none"/>
                <w:lang w:val="en-US" w:eastAsia="zh-CN" w:bidi="ar"/>
              </w:rPr>
              <w:t>需形成知识资产的结构化存储和管理，支撑快速匹配与精准检索。</w:t>
            </w:r>
          </w:p>
        </w:tc>
        <w:tc>
          <w:tcPr>
            <w:tcW w:w="1050" w:type="pct"/>
            <w:tcBorders>
              <w:top w:val="single" w:color="000000" w:sz="4" w:space="0"/>
              <w:left w:val="single" w:color="000000" w:sz="4" w:space="0"/>
              <w:bottom w:val="single" w:color="000000" w:sz="4" w:space="0"/>
              <w:right w:val="single" w:color="000000" w:sz="4" w:space="0"/>
            </w:tcBorders>
            <w:vAlign w:val="center"/>
          </w:tcPr>
          <w:p w14:paraId="08992D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1.构建全市统计领域首个专业、动态更新的知识库。</w:t>
            </w:r>
            <w:r>
              <w:rPr>
                <w:rStyle w:val="31"/>
                <w:rFonts w:hint="eastAsia" w:ascii="仿宋_GB2312" w:hAnsi="仿宋_GB2312" w:eastAsia="仿宋_GB2312" w:cs="仿宋_GB2312"/>
                <w:i w:val="0"/>
                <w:iCs w:val="0"/>
                <w:color w:val="auto"/>
                <w:sz w:val="22"/>
                <w:szCs w:val="22"/>
                <w:highlight w:val="none"/>
                <w:lang w:val="en-US" w:eastAsia="zh-CN" w:bidi="ar"/>
              </w:rPr>
              <w:t>促进统计报告、统计科研课题、统计制度、统计法律法规、对外服务业务指南及常见问题资料等知识与数据资产沉淀与复用</w:t>
            </w:r>
            <w:r>
              <w:rPr>
                <w:rFonts w:hint="eastAsia" w:ascii="仿宋_GB2312" w:hAnsi="仿宋_GB2312" w:eastAsia="仿宋_GB2312" w:cs="仿宋_GB2312"/>
                <w:i w:val="0"/>
                <w:iCs w:val="0"/>
                <w:color w:val="auto"/>
                <w:kern w:val="0"/>
                <w:sz w:val="22"/>
                <w:szCs w:val="22"/>
                <w:highlight w:val="none"/>
                <w:u w:val="none"/>
                <w:lang w:val="en-US" w:eastAsia="zh-CN" w:bidi="ar"/>
              </w:rPr>
              <w:t>。</w:t>
            </w:r>
          </w:p>
          <w:p w14:paraId="684318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2.强化多模态数据融合与跨源数据关联分析，构建主动式统计服务能力。</w:t>
            </w:r>
            <w:r>
              <w:rPr>
                <w:rFonts w:hint="eastAsia" w:ascii="仿宋_GB2312" w:hAnsi="仿宋_GB2312" w:eastAsia="仿宋_GB2312" w:cs="仿宋_GB2312"/>
                <w:i w:val="0"/>
                <w:iCs w:val="0"/>
                <w:color w:val="auto"/>
                <w:kern w:val="0"/>
                <w:sz w:val="22"/>
                <w:szCs w:val="22"/>
                <w:highlight w:val="none"/>
                <w:u w:val="none"/>
                <w:lang w:val="en-US" w:eastAsia="zh-CN" w:bidi="ar"/>
              </w:rPr>
              <w:t>赋能统计知识检索、调查数据挖掘、报告个性化撰写等多场景应用。</w:t>
            </w:r>
          </w:p>
          <w:p w14:paraId="70C3DD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3.建立闭环迭代成长机制，推动跨层级、跨专业知识价值释放。</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打造市级统建智能问答能力，</w:t>
            </w:r>
            <w:r>
              <w:rPr>
                <w:rFonts w:hint="eastAsia" w:ascii="仿宋_GB2312" w:hAnsi="仿宋_GB2312" w:eastAsia="仿宋_GB2312" w:cs="仿宋_GB2312"/>
                <w:i w:val="0"/>
                <w:iCs w:val="0"/>
                <w:color w:val="auto"/>
                <w:kern w:val="0"/>
                <w:sz w:val="22"/>
                <w:szCs w:val="22"/>
                <w:highlight w:val="none"/>
                <w:u w:val="none"/>
                <w:lang w:val="en-US" w:eastAsia="zh-CN" w:bidi="ar"/>
              </w:rPr>
              <w:t>通过“数据分析-意见反馈-模型调优”机制，将</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市、区、乡镇三级机构与调查对象联动，转变为持续</w:t>
            </w:r>
            <w:r>
              <w:rPr>
                <w:rFonts w:hint="eastAsia" w:ascii="仿宋_GB2312" w:hAnsi="仿宋_GB2312" w:eastAsia="仿宋_GB2312" w:cs="仿宋_GB2312"/>
                <w:i w:val="0"/>
                <w:iCs w:val="0"/>
                <w:color w:val="auto"/>
                <w:kern w:val="0"/>
                <w:sz w:val="22"/>
                <w:szCs w:val="22"/>
                <w:highlight w:val="none"/>
                <w:u w:val="none"/>
                <w:lang w:val="en-US" w:eastAsia="zh-CN" w:bidi="ar"/>
              </w:rPr>
              <w:t>积累的知识资产，促进业务高效协同。</w:t>
            </w:r>
          </w:p>
        </w:tc>
        <w:tc>
          <w:tcPr>
            <w:tcW w:w="389" w:type="pct"/>
            <w:tcBorders>
              <w:top w:val="single" w:color="000000" w:sz="4" w:space="0"/>
              <w:left w:val="single" w:color="000000" w:sz="4" w:space="0"/>
              <w:bottom w:val="single" w:color="000000" w:sz="4" w:space="0"/>
              <w:right w:val="single" w:color="000000" w:sz="4" w:space="0"/>
            </w:tcBorders>
            <w:vAlign w:val="center"/>
          </w:tcPr>
          <w:p w14:paraId="7877675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崔蕃璠010-55535341</w:t>
            </w:r>
          </w:p>
          <w:p w14:paraId="2758E7D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刘梦笑</w:t>
            </w:r>
          </w:p>
          <w:p w14:paraId="6283E23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010-55533963</w:t>
            </w:r>
          </w:p>
          <w:p w14:paraId="545E654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liumengxiao@tjj.beijing.gov.cn</w:t>
            </w:r>
          </w:p>
        </w:tc>
      </w:tr>
      <w:tr w14:paraId="757DFD01">
        <w:tblPrEx>
          <w:tblCellMar>
            <w:top w:w="0" w:type="dxa"/>
            <w:left w:w="108" w:type="dxa"/>
            <w:bottom w:w="0" w:type="dxa"/>
            <w:right w:w="108" w:type="dxa"/>
          </w:tblCellMar>
        </w:tblPrEx>
        <w:trPr>
          <w:trHeight w:val="7789" w:hRule="atLeast"/>
        </w:trPr>
        <w:tc>
          <w:tcPr>
            <w:tcW w:w="159" w:type="pct"/>
            <w:tcBorders>
              <w:top w:val="single" w:color="000000" w:sz="4" w:space="0"/>
              <w:left w:val="single" w:color="000000" w:sz="4" w:space="0"/>
              <w:bottom w:val="single" w:color="000000" w:sz="4" w:space="0"/>
              <w:right w:val="single" w:color="000000" w:sz="4" w:space="0"/>
            </w:tcBorders>
            <w:vAlign w:val="center"/>
          </w:tcPr>
          <w:p w14:paraId="380B582D">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w:t>
            </w:r>
          </w:p>
        </w:tc>
        <w:tc>
          <w:tcPr>
            <w:tcW w:w="244" w:type="pct"/>
            <w:tcBorders>
              <w:top w:val="single" w:color="000000" w:sz="4" w:space="0"/>
              <w:left w:val="single" w:color="000000" w:sz="4" w:space="0"/>
              <w:bottom w:val="single" w:color="000000" w:sz="4" w:space="0"/>
              <w:right w:val="single" w:color="000000" w:sz="4" w:space="0"/>
            </w:tcBorders>
            <w:vAlign w:val="center"/>
          </w:tcPr>
          <w:p w14:paraId="014734A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招商引资与企业服务数智化场景</w:t>
            </w:r>
          </w:p>
        </w:tc>
        <w:tc>
          <w:tcPr>
            <w:tcW w:w="314" w:type="pct"/>
            <w:tcBorders>
              <w:top w:val="single" w:color="000000" w:sz="4" w:space="0"/>
              <w:left w:val="single" w:color="000000" w:sz="4" w:space="0"/>
              <w:bottom w:val="single" w:color="000000" w:sz="4" w:space="0"/>
              <w:right w:val="single" w:color="000000" w:sz="4" w:space="0"/>
            </w:tcBorders>
            <w:vAlign w:val="center"/>
          </w:tcPr>
          <w:p w14:paraId="6C73D5F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b w:val="0"/>
                <w:bCs w:val="0"/>
                <w:i w:val="0"/>
                <w:iCs w:val="0"/>
                <w:sz w:val="22"/>
                <w:szCs w:val="22"/>
              </w:rPr>
              <w:t>北京市投资促进服务中心</w:t>
            </w:r>
          </w:p>
        </w:tc>
        <w:tc>
          <w:tcPr>
            <w:tcW w:w="239" w:type="pct"/>
            <w:tcBorders>
              <w:top w:val="single" w:color="000000" w:sz="4" w:space="0"/>
              <w:left w:val="single" w:color="000000" w:sz="4" w:space="0"/>
              <w:bottom w:val="single" w:color="000000" w:sz="4" w:space="0"/>
              <w:right w:val="single" w:color="000000" w:sz="4" w:space="0"/>
            </w:tcBorders>
            <w:vAlign w:val="center"/>
          </w:tcPr>
          <w:p w14:paraId="5A728CBB">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数智技术类</w:t>
            </w:r>
          </w:p>
        </w:tc>
        <w:tc>
          <w:tcPr>
            <w:tcW w:w="978" w:type="pct"/>
            <w:tcBorders>
              <w:top w:val="single" w:color="000000" w:sz="4" w:space="0"/>
              <w:left w:val="single" w:color="000000" w:sz="4" w:space="0"/>
              <w:bottom w:val="single" w:color="000000" w:sz="4" w:space="0"/>
              <w:right w:val="single" w:color="000000" w:sz="4" w:space="0"/>
            </w:tcBorders>
            <w:vAlign w:val="center"/>
          </w:tcPr>
          <w:p w14:paraId="4EA386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u w:val="none"/>
                <w:lang w:bidi="ar"/>
              </w:rPr>
            </w:pPr>
            <w:r>
              <w:rPr>
                <w:rFonts w:hint="eastAsia" w:ascii="仿宋_GB2312" w:hAnsi="仿宋_GB2312" w:eastAsia="仿宋_GB2312" w:cs="仿宋_GB2312"/>
                <w:sz w:val="22"/>
                <w:szCs w:val="22"/>
                <w:lang w:val="en-US" w:eastAsia="zh-CN" w:bidi="ar"/>
              </w:rPr>
              <w:t>为提升招商引资效率、优化企业服务体验，</w:t>
            </w:r>
            <w:r>
              <w:rPr>
                <w:rFonts w:hint="eastAsia" w:ascii="仿宋_GB2312" w:hAnsi="仿宋_GB2312" w:eastAsia="仿宋_GB2312" w:cs="仿宋_GB2312"/>
                <w:kern w:val="0"/>
                <w:sz w:val="22"/>
                <w:szCs w:val="22"/>
                <w:lang w:bidi="ar"/>
              </w:rPr>
              <w:t>融合全市招商项目、企业资源、产业政策、空间载体、园区资源等数据，</w:t>
            </w:r>
            <w:r>
              <w:rPr>
                <w:rFonts w:hint="eastAsia" w:ascii="仿宋_GB2312" w:hAnsi="仿宋_GB2312" w:eastAsia="仿宋_GB2312" w:cs="仿宋_GB2312"/>
                <w:kern w:val="0"/>
                <w:sz w:val="22"/>
                <w:szCs w:val="22"/>
                <w:lang w:val="en-US" w:eastAsia="zh-CN" w:bidi="ar"/>
              </w:rPr>
              <w:t>探索构建招商引资和企业服务双垂类大模型体系，研究通过</w:t>
            </w:r>
            <w:r>
              <w:rPr>
                <w:rFonts w:hint="eastAsia" w:ascii="仿宋_GB2312" w:hAnsi="仿宋_GB2312" w:eastAsia="仿宋_GB2312" w:cs="仿宋_GB2312"/>
                <w:kern w:val="0"/>
                <w:sz w:val="22"/>
                <w:szCs w:val="22"/>
                <w:lang w:bidi="ar"/>
              </w:rPr>
              <w:t>人工智能、大数据、知识图谱、隐私计算等技术，</w:t>
            </w:r>
            <w:r>
              <w:rPr>
                <w:rFonts w:hint="eastAsia" w:ascii="仿宋_GB2312" w:hAnsi="仿宋_GB2312" w:eastAsia="仿宋_GB2312" w:cs="仿宋_GB2312"/>
                <w:kern w:val="0"/>
                <w:sz w:val="22"/>
                <w:szCs w:val="22"/>
                <w:lang w:val="en-US" w:eastAsia="zh-CN" w:bidi="ar"/>
              </w:rPr>
              <w:t>实现产业分析、招商线索挖掘、目标项目评估、资源要素匹配、惠企政策推送、企业诉求响应等功能智能化升级，</w:t>
            </w:r>
            <w:r>
              <w:rPr>
                <w:rFonts w:hint="eastAsia" w:ascii="仿宋_GB2312" w:hAnsi="仿宋_GB2312" w:eastAsia="仿宋_GB2312" w:cs="仿宋_GB2312"/>
                <w:kern w:val="0"/>
                <w:sz w:val="22"/>
                <w:szCs w:val="22"/>
                <w:lang w:eastAsia="zh-CN" w:bidi="ar"/>
              </w:rPr>
              <w:t>推动</w:t>
            </w:r>
            <w:r>
              <w:rPr>
                <w:rFonts w:hint="eastAsia" w:ascii="仿宋_GB2312" w:hAnsi="仿宋_GB2312" w:eastAsia="仿宋_GB2312" w:cs="仿宋_GB2312"/>
                <w:kern w:val="0"/>
                <w:sz w:val="22"/>
                <w:szCs w:val="22"/>
                <w:lang w:val="en-US" w:eastAsia="zh-CN" w:bidi="ar"/>
              </w:rPr>
              <w:t>全市投资促进服务向智向新发展</w:t>
            </w:r>
            <w:r>
              <w:rPr>
                <w:rFonts w:hint="eastAsia" w:ascii="仿宋_GB2312" w:hAnsi="仿宋_GB2312" w:eastAsia="仿宋_GB2312" w:cs="仿宋_GB2312"/>
                <w:kern w:val="0"/>
                <w:sz w:val="22"/>
                <w:szCs w:val="22"/>
                <w:lang w:eastAsia="zh-CN" w:bidi="ar"/>
              </w:rPr>
              <w:t>。</w:t>
            </w:r>
          </w:p>
        </w:tc>
        <w:tc>
          <w:tcPr>
            <w:tcW w:w="1624" w:type="pct"/>
            <w:tcBorders>
              <w:top w:val="single" w:color="000000" w:sz="4" w:space="0"/>
              <w:left w:val="single" w:color="000000" w:sz="4" w:space="0"/>
              <w:bottom w:val="single" w:color="000000" w:sz="4" w:space="0"/>
              <w:right w:val="single" w:color="000000" w:sz="4" w:space="0"/>
            </w:tcBorders>
            <w:vAlign w:val="center"/>
          </w:tcPr>
          <w:p w14:paraId="782984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b/>
                <w:bCs/>
                <w:kern w:val="0"/>
                <w:sz w:val="22"/>
                <w:szCs w:val="22"/>
                <w:lang w:val="en-US" w:eastAsia="zh-CN" w:bidi="ar"/>
              </w:rPr>
            </w:pPr>
            <w:r>
              <w:rPr>
                <w:rFonts w:hint="eastAsia" w:ascii="仿宋_GB2312" w:hAnsi="仿宋_GB2312" w:eastAsia="仿宋_GB2312" w:cs="仿宋_GB2312"/>
                <w:b/>
                <w:bCs/>
                <w:kern w:val="0"/>
                <w:sz w:val="22"/>
                <w:szCs w:val="22"/>
                <w:lang w:val="en-US" w:eastAsia="zh-CN" w:bidi="ar"/>
              </w:rPr>
              <w:t>一、背景情况</w:t>
            </w:r>
          </w:p>
          <w:p w14:paraId="6F82F1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val="en-US" w:eastAsia="zh-CN" w:bidi="ar"/>
              </w:rPr>
              <w:t>当前招商竞争激烈、企业需求多元化程度愈发明显，现有人工筛选线索、经验研判项目、分散响应诉求的工作方式已难以满足精准招商、精细服务需要，亟需为</w:t>
            </w:r>
            <w:r>
              <w:rPr>
                <w:rFonts w:hint="eastAsia" w:ascii="仿宋_GB2312" w:hAnsi="仿宋_GB2312" w:eastAsia="仿宋_GB2312" w:cs="仿宋_GB2312"/>
                <w:kern w:val="0"/>
                <w:sz w:val="22"/>
                <w:szCs w:val="22"/>
                <w:lang w:eastAsia="zh-CN" w:bidi="ar"/>
              </w:rPr>
              <w:t>招商工作人员和企业用户</w:t>
            </w:r>
            <w:r>
              <w:rPr>
                <w:rFonts w:hint="eastAsia" w:ascii="仿宋_GB2312" w:hAnsi="仿宋_GB2312" w:eastAsia="仿宋_GB2312" w:cs="仿宋_GB2312"/>
                <w:kern w:val="0"/>
                <w:sz w:val="22"/>
                <w:szCs w:val="22"/>
                <w:lang w:val="en-US" w:eastAsia="zh-CN" w:bidi="ar"/>
              </w:rPr>
              <w:t>提供更加智能化的服务供给。</w:t>
            </w:r>
          </w:p>
          <w:p w14:paraId="70A084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val="en-US" w:eastAsia="zh-CN" w:bidi="ar"/>
              </w:rPr>
              <w:t>二、</w:t>
            </w:r>
            <w:r>
              <w:rPr>
                <w:rFonts w:hint="eastAsia" w:ascii="仿宋_GB2312" w:hAnsi="仿宋_GB2312" w:eastAsia="仿宋_GB2312" w:cs="仿宋_GB2312"/>
                <w:b/>
                <w:bCs/>
                <w:kern w:val="0"/>
                <w:sz w:val="22"/>
                <w:szCs w:val="22"/>
                <w:lang w:val="en-US" w:eastAsia="zh-CN" w:bidi="ar"/>
              </w:rPr>
              <w:t>拟解决问题</w:t>
            </w:r>
          </w:p>
          <w:p w14:paraId="583404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b/>
                <w:bCs/>
                <w:kern w:val="0"/>
                <w:sz w:val="22"/>
                <w:szCs w:val="22"/>
                <w:lang w:val="en-US" w:eastAsia="zh-CN" w:bidi="ar"/>
              </w:rPr>
              <w:t>1.解决招商引资决策支撑不足问题。</w:t>
            </w:r>
            <w:r>
              <w:rPr>
                <w:rFonts w:hint="eastAsia" w:ascii="仿宋_GB2312" w:hAnsi="仿宋_GB2312" w:eastAsia="仿宋_GB2312" w:cs="仿宋_GB2312"/>
                <w:b w:val="0"/>
                <w:bCs w:val="0"/>
                <w:kern w:val="0"/>
                <w:sz w:val="22"/>
                <w:szCs w:val="22"/>
                <w:lang w:val="en-US" w:eastAsia="zh-CN" w:bidi="ar"/>
              </w:rPr>
              <w:t>提升</w:t>
            </w:r>
            <w:r>
              <w:rPr>
                <w:rFonts w:hint="eastAsia" w:ascii="仿宋_GB2312" w:hAnsi="仿宋_GB2312" w:eastAsia="仿宋_GB2312" w:cs="仿宋_GB2312"/>
                <w:kern w:val="0"/>
                <w:sz w:val="22"/>
                <w:szCs w:val="22"/>
                <w:lang w:val="en-US" w:eastAsia="zh-CN" w:bidi="ar"/>
              </w:rPr>
              <w:t>招商线索搜集精准度、研判效率、</w:t>
            </w:r>
            <w:r>
              <w:rPr>
                <w:rFonts w:hint="eastAsia" w:ascii="仿宋_GB2312" w:hAnsi="仿宋_GB2312" w:eastAsia="仿宋_GB2312" w:cs="仿宋_GB2312"/>
                <w:kern w:val="0"/>
                <w:sz w:val="22"/>
                <w:szCs w:val="22"/>
                <w:lang w:val="en-US" w:bidi="ar"/>
              </w:rPr>
              <w:t>决策</w:t>
            </w:r>
            <w:r>
              <w:rPr>
                <w:rFonts w:hint="eastAsia" w:ascii="仿宋_GB2312" w:hAnsi="仿宋_GB2312" w:eastAsia="仿宋_GB2312" w:cs="仿宋_GB2312"/>
                <w:kern w:val="0"/>
                <w:sz w:val="22"/>
                <w:szCs w:val="22"/>
                <w:lang w:val="en-US" w:eastAsia="zh-CN" w:bidi="ar"/>
              </w:rPr>
              <w:t>支持力度</w:t>
            </w:r>
            <w:r>
              <w:rPr>
                <w:rFonts w:hint="eastAsia" w:ascii="仿宋_GB2312" w:hAnsi="仿宋_GB2312" w:eastAsia="仿宋_GB2312" w:cs="仿宋_GB2312"/>
                <w:kern w:val="0"/>
                <w:sz w:val="22"/>
                <w:szCs w:val="22"/>
                <w:lang w:val="en-US" w:bidi="ar"/>
              </w:rPr>
              <w:t>、服务响应</w:t>
            </w:r>
            <w:r>
              <w:rPr>
                <w:rFonts w:hint="eastAsia" w:ascii="仿宋_GB2312" w:hAnsi="仿宋_GB2312" w:eastAsia="仿宋_GB2312" w:cs="仿宋_GB2312"/>
                <w:kern w:val="0"/>
                <w:sz w:val="22"/>
                <w:szCs w:val="22"/>
                <w:lang w:val="en-US" w:eastAsia="zh-CN" w:bidi="ar"/>
              </w:rPr>
              <w:t>速度等。</w:t>
            </w:r>
          </w:p>
          <w:p w14:paraId="4C48C2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center"/>
              <w:rPr>
                <w:rStyle w:val="29"/>
                <w:rFonts w:hint="eastAsia" w:ascii="仿宋_GB2312" w:hAnsi="仿宋_GB2312" w:eastAsia="仿宋_GB2312" w:cs="仿宋_GB2312"/>
                <w:b w:val="0"/>
                <w:bCs w:val="0"/>
                <w:i w:val="0"/>
                <w:iCs w:val="0"/>
                <w:color w:val="auto"/>
                <w:sz w:val="22"/>
                <w:szCs w:val="22"/>
                <w:u w:val="none"/>
                <w:lang w:val="en-US" w:eastAsia="zh-CN" w:bidi="ar"/>
              </w:rPr>
            </w:pPr>
            <w:r>
              <w:rPr>
                <w:rFonts w:hint="eastAsia" w:ascii="仿宋_GB2312" w:hAnsi="仿宋_GB2312" w:eastAsia="仿宋_GB2312" w:cs="仿宋_GB2312"/>
                <w:b/>
                <w:bCs/>
                <w:kern w:val="0"/>
                <w:sz w:val="22"/>
                <w:szCs w:val="22"/>
                <w:lang w:val="en-US" w:eastAsia="zh-CN" w:bidi="ar"/>
              </w:rPr>
              <w:t>2.解决企业服务系统化、精细化不足问题。</w:t>
            </w:r>
            <w:r>
              <w:rPr>
                <w:rFonts w:hint="eastAsia" w:ascii="仿宋_GB2312" w:hAnsi="仿宋_GB2312" w:eastAsia="仿宋_GB2312" w:cs="仿宋_GB2312"/>
                <w:kern w:val="0"/>
                <w:sz w:val="22"/>
                <w:szCs w:val="22"/>
                <w:lang w:val="en-US" w:eastAsia="zh-CN" w:bidi="ar"/>
              </w:rPr>
              <w:t>集中企业服务入口，提升信息触达效率、管理覆盖面等，形成</w:t>
            </w:r>
            <w:r>
              <w:rPr>
                <w:rFonts w:hint="eastAsia" w:ascii="仿宋_GB2312" w:hAnsi="仿宋_GB2312" w:eastAsia="仿宋_GB2312" w:cs="仿宋_GB2312"/>
                <w:kern w:val="0"/>
                <w:sz w:val="22"/>
                <w:szCs w:val="22"/>
                <w:lang w:val="en-US" w:bidi="ar"/>
              </w:rPr>
              <w:t>轻量化、精准化、直达式服务模式</w:t>
            </w:r>
            <w:r>
              <w:rPr>
                <w:rFonts w:hint="eastAsia" w:ascii="仿宋_GB2312" w:hAnsi="仿宋_GB2312" w:eastAsia="仿宋_GB2312" w:cs="仿宋_GB2312"/>
                <w:kern w:val="0"/>
                <w:sz w:val="22"/>
                <w:szCs w:val="22"/>
                <w:lang w:val="en-US" w:eastAsia="zh-CN" w:bidi="ar"/>
              </w:rPr>
              <w:t>。</w:t>
            </w:r>
          </w:p>
        </w:tc>
        <w:tc>
          <w:tcPr>
            <w:tcW w:w="1050" w:type="pct"/>
            <w:tcBorders>
              <w:top w:val="single" w:color="000000" w:sz="4" w:space="0"/>
              <w:left w:val="single" w:color="000000" w:sz="4" w:space="0"/>
              <w:bottom w:val="single" w:color="000000" w:sz="4" w:space="0"/>
              <w:right w:val="single" w:color="000000" w:sz="4" w:space="0"/>
            </w:tcBorders>
            <w:vAlign w:val="center"/>
          </w:tcPr>
          <w:p w14:paraId="2D97AD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b/>
                <w:bCs/>
                <w:kern w:val="0"/>
                <w:sz w:val="22"/>
                <w:szCs w:val="22"/>
                <w:lang w:val="en-US" w:eastAsia="zh-CN" w:bidi="ar"/>
              </w:rPr>
              <w:t>1.构建</w:t>
            </w:r>
            <w:r>
              <w:rPr>
                <w:rFonts w:hint="eastAsia" w:ascii="仿宋_GB2312" w:hAnsi="仿宋_GB2312" w:eastAsia="仿宋_GB2312" w:cs="仿宋_GB2312"/>
                <w:b/>
                <w:bCs/>
                <w:kern w:val="0"/>
                <w:sz w:val="22"/>
                <w:szCs w:val="22"/>
                <w:lang w:eastAsia="zh-CN" w:bidi="ar"/>
              </w:rPr>
              <w:t>招商引资</w:t>
            </w:r>
            <w:r>
              <w:rPr>
                <w:rFonts w:hint="eastAsia" w:ascii="仿宋_GB2312" w:hAnsi="仿宋_GB2312" w:eastAsia="仿宋_GB2312" w:cs="仿宋_GB2312"/>
                <w:b/>
                <w:bCs/>
                <w:kern w:val="0"/>
                <w:sz w:val="22"/>
                <w:szCs w:val="22"/>
                <w:lang w:val="en-US" w:eastAsia="zh-CN" w:bidi="ar"/>
              </w:rPr>
              <w:t>和企业服务</w:t>
            </w:r>
            <w:r>
              <w:rPr>
                <w:rFonts w:hint="eastAsia" w:ascii="仿宋_GB2312" w:hAnsi="仿宋_GB2312" w:eastAsia="仿宋_GB2312" w:cs="仿宋_GB2312"/>
                <w:b/>
                <w:bCs/>
                <w:kern w:val="0"/>
                <w:sz w:val="22"/>
                <w:szCs w:val="22"/>
                <w:lang w:eastAsia="zh-CN" w:bidi="ar"/>
              </w:rPr>
              <w:t>双垂类大模型体系。</w:t>
            </w:r>
            <w:r>
              <w:rPr>
                <w:rFonts w:hint="eastAsia" w:ascii="仿宋_GB2312" w:hAnsi="仿宋_GB2312" w:eastAsia="仿宋_GB2312" w:cs="仿宋_GB2312"/>
                <w:b w:val="0"/>
                <w:bCs w:val="0"/>
                <w:kern w:val="0"/>
                <w:sz w:val="22"/>
                <w:szCs w:val="22"/>
                <w:lang w:val="en-US" w:eastAsia="zh-CN" w:bidi="ar"/>
              </w:rPr>
              <w:t>研究探索覆盖招</w:t>
            </w:r>
            <w:r>
              <w:rPr>
                <w:rFonts w:hint="eastAsia" w:ascii="仿宋_GB2312" w:hAnsi="仿宋_GB2312" w:eastAsia="仿宋_GB2312" w:cs="仿宋_GB2312"/>
                <w:kern w:val="0"/>
                <w:sz w:val="22"/>
                <w:szCs w:val="22"/>
                <w:lang w:val="en-US" w:eastAsia="zh-CN" w:bidi="ar"/>
              </w:rPr>
              <w:t>商引资全流程、企业服务全周期的数智化解决方案，谋划多个产业领域AI应用，</w:t>
            </w:r>
            <w:r>
              <w:rPr>
                <w:rFonts w:hint="eastAsia" w:ascii="仿宋_GB2312" w:hAnsi="仿宋_GB2312" w:eastAsia="仿宋_GB2312" w:cs="仿宋_GB2312"/>
                <w:kern w:val="0"/>
                <w:sz w:val="22"/>
                <w:szCs w:val="22"/>
                <w:lang w:eastAsia="zh-CN" w:bidi="ar"/>
              </w:rPr>
              <w:t>填补</w:t>
            </w:r>
            <w:r>
              <w:rPr>
                <w:rFonts w:hint="eastAsia" w:ascii="仿宋_GB2312" w:hAnsi="仿宋_GB2312" w:eastAsia="仿宋_GB2312" w:cs="仿宋_GB2312"/>
                <w:kern w:val="0"/>
                <w:sz w:val="22"/>
                <w:szCs w:val="22"/>
                <w:lang w:val="en-US" w:eastAsia="zh-CN" w:bidi="ar"/>
              </w:rPr>
              <w:t>北京国际化数字招商服务智能化载体空白</w:t>
            </w:r>
            <w:r>
              <w:rPr>
                <w:rFonts w:hint="eastAsia" w:ascii="仿宋_GB2312" w:hAnsi="仿宋_GB2312" w:eastAsia="仿宋_GB2312" w:cs="仿宋_GB2312"/>
                <w:kern w:val="0"/>
                <w:sz w:val="22"/>
                <w:szCs w:val="22"/>
                <w:lang w:eastAsia="zh-CN" w:bidi="ar"/>
              </w:rPr>
              <w:t>。</w:t>
            </w:r>
          </w:p>
          <w:p w14:paraId="6D178A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bCs/>
                <w:kern w:val="0"/>
                <w:sz w:val="22"/>
                <w:szCs w:val="22"/>
                <w:lang w:val="en-US" w:eastAsia="zh-CN" w:bidi="ar"/>
              </w:rPr>
              <w:t>2.创新</w:t>
            </w:r>
            <w:r>
              <w:rPr>
                <w:rFonts w:hint="eastAsia" w:ascii="仿宋_GB2312" w:hAnsi="仿宋_GB2312" w:eastAsia="仿宋_GB2312" w:cs="仿宋_GB2312"/>
                <w:b/>
                <w:bCs/>
                <w:kern w:val="0"/>
                <w:sz w:val="22"/>
                <w:szCs w:val="22"/>
                <w:lang w:eastAsia="zh-CN" w:bidi="ar"/>
              </w:rPr>
              <w:t>“市</w:t>
            </w:r>
            <w:r>
              <w:rPr>
                <w:rFonts w:hint="eastAsia" w:ascii="仿宋_GB2312" w:hAnsi="仿宋_GB2312" w:eastAsia="仿宋_GB2312" w:cs="仿宋_GB2312"/>
                <w:b/>
                <w:bCs/>
                <w:kern w:val="0"/>
                <w:sz w:val="22"/>
                <w:szCs w:val="22"/>
                <w:lang w:val="en-US" w:eastAsia="zh-CN" w:bidi="ar"/>
              </w:rPr>
              <w:t>-</w:t>
            </w:r>
            <w:r>
              <w:rPr>
                <w:rFonts w:hint="eastAsia" w:ascii="仿宋_GB2312" w:hAnsi="仿宋_GB2312" w:eastAsia="仿宋_GB2312" w:cs="仿宋_GB2312"/>
                <w:b/>
                <w:bCs/>
                <w:kern w:val="0"/>
                <w:sz w:val="22"/>
                <w:szCs w:val="22"/>
                <w:lang w:eastAsia="zh-CN" w:bidi="ar"/>
              </w:rPr>
              <w:t>区</w:t>
            </w:r>
            <w:r>
              <w:rPr>
                <w:rFonts w:hint="eastAsia" w:ascii="仿宋_GB2312" w:hAnsi="仿宋_GB2312" w:eastAsia="仿宋_GB2312" w:cs="仿宋_GB2312"/>
                <w:b/>
                <w:bCs/>
                <w:kern w:val="0"/>
                <w:sz w:val="22"/>
                <w:szCs w:val="22"/>
                <w:lang w:val="en-US" w:eastAsia="zh-CN" w:bidi="ar"/>
              </w:rPr>
              <w:t>-</w:t>
            </w:r>
            <w:r>
              <w:rPr>
                <w:rFonts w:hint="eastAsia" w:ascii="仿宋_GB2312" w:hAnsi="仿宋_GB2312" w:eastAsia="仿宋_GB2312" w:cs="仿宋_GB2312"/>
                <w:b/>
                <w:bCs/>
                <w:kern w:val="0"/>
                <w:sz w:val="22"/>
                <w:szCs w:val="22"/>
                <w:lang w:eastAsia="zh-CN" w:bidi="ar"/>
              </w:rPr>
              <w:t>园”协同的</w:t>
            </w:r>
            <w:r>
              <w:rPr>
                <w:rFonts w:hint="eastAsia" w:ascii="仿宋_GB2312" w:hAnsi="仿宋_GB2312" w:eastAsia="仿宋_GB2312" w:cs="仿宋_GB2312"/>
                <w:b/>
                <w:bCs/>
                <w:kern w:val="0"/>
                <w:sz w:val="22"/>
                <w:szCs w:val="22"/>
                <w:lang w:val="en-US" w:eastAsia="zh-CN" w:bidi="ar"/>
              </w:rPr>
              <w:t>智慧</w:t>
            </w:r>
            <w:r>
              <w:rPr>
                <w:rFonts w:hint="eastAsia" w:ascii="仿宋_GB2312" w:hAnsi="仿宋_GB2312" w:eastAsia="仿宋_GB2312" w:cs="仿宋_GB2312"/>
                <w:b/>
                <w:bCs/>
                <w:kern w:val="0"/>
                <w:sz w:val="22"/>
                <w:szCs w:val="22"/>
                <w:lang w:eastAsia="zh-CN" w:bidi="ar"/>
              </w:rPr>
              <w:t>招商服务闭环。</w:t>
            </w:r>
            <w:r>
              <w:rPr>
                <w:rFonts w:hint="eastAsia" w:ascii="仿宋_GB2312" w:hAnsi="仿宋_GB2312" w:eastAsia="仿宋_GB2312" w:cs="仿宋_GB2312"/>
                <w:kern w:val="0"/>
                <w:sz w:val="22"/>
                <w:szCs w:val="22"/>
                <w:lang w:eastAsia="zh-CN" w:bidi="ar"/>
              </w:rPr>
              <w:t>打通市、区、园区三级招商资源和项目进展信息，</w:t>
            </w:r>
            <w:r>
              <w:rPr>
                <w:rFonts w:hint="eastAsia" w:ascii="仿宋_GB2312" w:hAnsi="仿宋_GB2312" w:eastAsia="仿宋_GB2312" w:cs="仿宋_GB2312"/>
                <w:kern w:val="0"/>
                <w:sz w:val="22"/>
                <w:szCs w:val="22"/>
                <w:lang w:val="en-US" w:eastAsia="zh-CN" w:bidi="ar"/>
              </w:rPr>
              <w:t>推动招商引资</w:t>
            </w:r>
            <w:r>
              <w:rPr>
                <w:rFonts w:hint="eastAsia" w:ascii="仿宋_GB2312" w:hAnsi="仿宋_GB2312" w:eastAsia="仿宋_GB2312" w:cs="仿宋_GB2312"/>
                <w:kern w:val="0"/>
                <w:sz w:val="22"/>
                <w:szCs w:val="22"/>
                <w:lang w:eastAsia="zh-CN" w:bidi="ar"/>
              </w:rPr>
              <w:t>由人工经验驱动向数据智能驱动转变，提升项目全生命周期管理和企业全周期服务能力。</w:t>
            </w:r>
          </w:p>
        </w:tc>
        <w:tc>
          <w:tcPr>
            <w:tcW w:w="389" w:type="pct"/>
            <w:tcBorders>
              <w:top w:val="single" w:color="000000" w:sz="4" w:space="0"/>
              <w:left w:val="single" w:color="000000" w:sz="4" w:space="0"/>
              <w:bottom w:val="single" w:color="000000" w:sz="4" w:space="0"/>
              <w:right w:val="single" w:color="000000" w:sz="4" w:space="0"/>
            </w:tcBorders>
            <w:vAlign w:val="center"/>
          </w:tcPr>
          <w:p w14:paraId="74F58F6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金悦祺</w:t>
            </w:r>
          </w:p>
          <w:p w14:paraId="60FBC2D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010-89153684</w:t>
            </w:r>
          </w:p>
          <w:p w14:paraId="5635F0A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yueqi_jin@invest.beijing.gov.cn</w:t>
            </w:r>
          </w:p>
        </w:tc>
      </w:tr>
      <w:tr w14:paraId="49EE1804">
        <w:tblPrEx>
          <w:tblCellMar>
            <w:top w:w="0" w:type="dxa"/>
            <w:left w:w="108" w:type="dxa"/>
            <w:bottom w:w="0" w:type="dxa"/>
            <w:right w:w="108" w:type="dxa"/>
          </w:tblCellMar>
        </w:tblPrEx>
        <w:trPr>
          <w:trHeight w:val="7951"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4B3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171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sz w:val="22"/>
                <w:szCs w:val="22"/>
                <w:highlight w:val="none"/>
                <w:lang w:val="en-US" w:eastAsia="zh-CN"/>
              </w:rPr>
              <w:t>信令实验室</w:t>
            </w:r>
            <w:r>
              <w:rPr>
                <w:rFonts w:hint="eastAsia" w:ascii="仿宋_GB2312" w:hAnsi="仿宋_GB2312" w:eastAsia="仿宋_GB2312" w:cs="仿宋_GB2312"/>
                <w:i w:val="0"/>
                <w:iCs w:val="0"/>
                <w:color w:val="auto"/>
                <w:sz w:val="22"/>
                <w:szCs w:val="22"/>
                <w:highlight w:val="none"/>
              </w:rPr>
              <w:t>进出京方式识别与出行规律挖掘</w:t>
            </w:r>
            <w:r>
              <w:rPr>
                <w:rFonts w:hint="eastAsia" w:ascii="仿宋_GB2312" w:hAnsi="仿宋_GB2312" w:eastAsia="仿宋_GB2312" w:cs="仿宋_GB2312"/>
                <w:i w:val="0"/>
                <w:iCs w:val="0"/>
                <w:color w:val="auto"/>
                <w:sz w:val="22"/>
                <w:szCs w:val="22"/>
                <w:highlight w:val="none"/>
                <w:lang w:val="en-US" w:eastAsia="zh-CN"/>
              </w:rPr>
              <w:t>应用场景</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23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北京移动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A7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数据创新类</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BC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依托数智北京创新中心信令实验室，基于电信运营商交通枢纽、进出京等信令数据，开展创新应用，构建人口时空流动分析模型，精准识别用户进出京行为轨迹，挖掘节假日、日常时段人群流动规律，助力城市交通、安全治理精准高效决策。</w:t>
            </w:r>
          </w:p>
        </w:tc>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74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31"/>
                <w:rFonts w:hint="eastAsia" w:ascii="仿宋_GB2312" w:hAnsi="仿宋_GB2312" w:eastAsia="仿宋_GB2312" w:cs="仿宋_GB2312"/>
                <w:i w:val="0"/>
                <w:iCs w:val="0"/>
                <w:color w:val="auto"/>
                <w:sz w:val="22"/>
                <w:szCs w:val="22"/>
                <w:highlight w:val="none"/>
                <w:lang w:val="en-US" w:eastAsia="zh-CN" w:bidi="ar"/>
              </w:rPr>
            </w:pPr>
            <w:r>
              <w:rPr>
                <w:rStyle w:val="29"/>
                <w:rFonts w:hint="eastAsia" w:ascii="仿宋_GB2312" w:hAnsi="仿宋_GB2312" w:eastAsia="仿宋_GB2312" w:cs="仿宋_GB2312"/>
                <w:b/>
                <w:bCs/>
                <w:i w:val="0"/>
                <w:iCs w:val="0"/>
                <w:color w:val="auto"/>
                <w:sz w:val="22"/>
                <w:szCs w:val="22"/>
                <w:highlight w:val="none"/>
                <w:lang w:val="en-US" w:eastAsia="zh-CN" w:bidi="ar"/>
              </w:rPr>
              <w:t>一、背景情况</w:t>
            </w:r>
            <w:r>
              <w:rPr>
                <w:rStyle w:val="31"/>
                <w:rFonts w:hint="eastAsia" w:ascii="仿宋_GB2312" w:hAnsi="仿宋_GB2312" w:eastAsia="仿宋_GB2312" w:cs="仿宋_GB2312"/>
                <w:i w:val="0"/>
                <w:iCs w:val="0"/>
                <w:color w:val="auto"/>
                <w:sz w:val="22"/>
                <w:szCs w:val="22"/>
                <w:highlight w:val="none"/>
                <w:lang w:val="en-US" w:eastAsia="zh-CN" w:bidi="ar"/>
              </w:rPr>
              <w:br w:type="textWrapping"/>
            </w:r>
            <w:r>
              <w:rPr>
                <w:rStyle w:val="31"/>
                <w:rFonts w:hint="eastAsia" w:ascii="仿宋_GB2312" w:hAnsi="仿宋_GB2312" w:eastAsia="仿宋_GB2312" w:cs="仿宋_GB2312"/>
                <w:i w:val="0"/>
                <w:iCs w:val="0"/>
                <w:color w:val="auto"/>
                <w:sz w:val="22"/>
                <w:szCs w:val="22"/>
                <w:highlight w:val="none"/>
                <w:lang w:val="en-US" w:eastAsia="zh-CN" w:bidi="ar"/>
              </w:rPr>
              <w:t>京津冀协同发展背景下，首都跨城人口流动频次、时空复杂度持续提升，节假日潮汐式进出京客流波动剧烈，传统人口研判方式颗粒度粗，多源数据壁垒明显，精准预判跨城人口流动走势、疏导交通压力、前置防范公共安全风险能力需进一步提高。</w:t>
            </w:r>
            <w:r>
              <w:rPr>
                <w:rStyle w:val="31"/>
                <w:rFonts w:hint="eastAsia" w:ascii="仿宋_GB2312" w:hAnsi="仿宋_GB2312" w:eastAsia="仿宋_GB2312" w:cs="仿宋_GB2312"/>
                <w:i w:val="0"/>
                <w:iCs w:val="0"/>
                <w:color w:val="auto"/>
                <w:sz w:val="22"/>
                <w:szCs w:val="22"/>
                <w:highlight w:val="none"/>
                <w:lang w:val="en-US" w:eastAsia="zh-CN" w:bidi="ar"/>
              </w:rPr>
              <w:br w:type="textWrapping"/>
            </w:r>
            <w:r>
              <w:rPr>
                <w:rStyle w:val="29"/>
                <w:rFonts w:hint="eastAsia" w:ascii="仿宋_GB2312" w:hAnsi="仿宋_GB2312" w:eastAsia="仿宋_GB2312" w:cs="仿宋_GB2312"/>
                <w:b/>
                <w:bCs/>
                <w:i w:val="0"/>
                <w:iCs w:val="0"/>
                <w:color w:val="auto"/>
                <w:sz w:val="22"/>
                <w:szCs w:val="22"/>
                <w:highlight w:val="none"/>
                <w:lang w:val="en-US" w:eastAsia="zh-CN" w:bidi="ar"/>
              </w:rPr>
              <w:t>二、拟解决的问题</w:t>
            </w:r>
            <w:r>
              <w:rPr>
                <w:rStyle w:val="31"/>
                <w:rFonts w:hint="eastAsia" w:ascii="仿宋_GB2312" w:hAnsi="仿宋_GB2312" w:eastAsia="仿宋_GB2312" w:cs="仿宋_GB2312"/>
                <w:i w:val="0"/>
                <w:iCs w:val="0"/>
                <w:color w:val="auto"/>
                <w:sz w:val="22"/>
                <w:szCs w:val="22"/>
                <w:highlight w:val="none"/>
                <w:lang w:val="en-US" w:eastAsia="zh-CN" w:bidi="ar"/>
              </w:rPr>
              <w:br w:type="textWrapping"/>
            </w:r>
            <w:r>
              <w:rPr>
                <w:rStyle w:val="31"/>
                <w:rFonts w:hint="eastAsia" w:ascii="仿宋_GB2312" w:hAnsi="仿宋_GB2312" w:eastAsia="仿宋_GB2312" w:cs="仿宋_GB2312"/>
                <w:i w:val="0"/>
                <w:iCs w:val="0"/>
                <w:color w:val="auto"/>
                <w:sz w:val="22"/>
                <w:szCs w:val="22"/>
                <w:highlight w:val="none"/>
                <w:lang w:val="en-US" w:eastAsia="zh-CN" w:bidi="ar"/>
              </w:rPr>
              <w:t>1.解决进出京人群轨迹碎片化、识别精度不足、跨周期规律研判滞后等问题。</w:t>
            </w:r>
          </w:p>
          <w:p w14:paraId="56339D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31"/>
                <w:rFonts w:hint="eastAsia" w:ascii="仿宋_GB2312" w:hAnsi="仿宋_GB2312" w:eastAsia="仿宋_GB2312" w:cs="仿宋_GB2312"/>
                <w:i w:val="0"/>
                <w:iCs w:val="0"/>
                <w:color w:val="auto"/>
                <w:sz w:val="22"/>
                <w:szCs w:val="22"/>
                <w:highlight w:val="none"/>
                <w:lang w:val="en-US" w:eastAsia="zh-CN" w:bidi="ar"/>
              </w:rPr>
            </w:pPr>
            <w:r>
              <w:rPr>
                <w:rStyle w:val="31"/>
                <w:rFonts w:hint="eastAsia" w:ascii="仿宋_GB2312" w:hAnsi="仿宋_GB2312" w:eastAsia="仿宋_GB2312" w:cs="仿宋_GB2312"/>
                <w:i w:val="0"/>
                <w:iCs w:val="0"/>
                <w:color w:val="auto"/>
                <w:sz w:val="22"/>
                <w:szCs w:val="22"/>
                <w:highlight w:val="none"/>
                <w:lang w:val="en-US" w:eastAsia="zh-CN" w:bidi="ar"/>
              </w:rPr>
              <w:t>2.解决交通、地理、信令等多源数据的融合应用难题。</w:t>
            </w:r>
          </w:p>
          <w:p w14:paraId="79445B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sz w:val="22"/>
                <w:szCs w:val="22"/>
                <w:highlight w:val="none"/>
                <w:u w:val="none"/>
              </w:rPr>
            </w:pPr>
            <w:r>
              <w:rPr>
                <w:rStyle w:val="31"/>
                <w:rFonts w:hint="eastAsia" w:ascii="仿宋_GB2312" w:hAnsi="仿宋_GB2312" w:eastAsia="仿宋_GB2312" w:cs="仿宋_GB2312"/>
                <w:i w:val="0"/>
                <w:iCs w:val="0"/>
                <w:color w:val="auto"/>
                <w:sz w:val="22"/>
                <w:szCs w:val="22"/>
                <w:highlight w:val="none"/>
                <w:lang w:val="en-US" w:eastAsia="zh-CN" w:bidi="ar"/>
              </w:rPr>
              <w:t>3.解决首都跨城人口潮汐波动、城际出行规律挖掘难题。</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1D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1.构建“信令+交通+地理”多维时空融合建模技术，</w:t>
            </w:r>
            <w:r>
              <w:rPr>
                <w:rFonts w:hint="eastAsia" w:ascii="仿宋_GB2312" w:hAnsi="仿宋_GB2312" w:eastAsia="仿宋_GB2312" w:cs="仿宋_GB2312"/>
                <w:i w:val="0"/>
                <w:iCs w:val="0"/>
                <w:color w:val="auto"/>
                <w:kern w:val="0"/>
                <w:sz w:val="22"/>
                <w:szCs w:val="22"/>
                <w:highlight w:val="none"/>
                <w:u w:val="none"/>
                <w:lang w:val="en-US" w:eastAsia="zh-CN" w:bidi="ar"/>
              </w:rPr>
              <w:t>实现进出京全场景人群轨迹高精度、全周期动态追踪研判。</w:t>
            </w:r>
          </w:p>
          <w:p w14:paraId="6D198F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2.创新信令数据跨行业合规共享、脱敏融合应用模式，</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保障</w:t>
            </w:r>
            <w:r>
              <w:rPr>
                <w:rFonts w:hint="eastAsia" w:ascii="仿宋_GB2312" w:hAnsi="仿宋_GB2312" w:eastAsia="仿宋_GB2312" w:cs="仿宋_GB2312"/>
                <w:i w:val="0"/>
                <w:iCs w:val="0"/>
                <w:color w:val="auto"/>
                <w:kern w:val="0"/>
                <w:sz w:val="22"/>
                <w:szCs w:val="22"/>
                <w:highlight w:val="none"/>
                <w:u w:val="none"/>
                <w:lang w:val="en-US" w:eastAsia="zh-CN" w:bidi="ar"/>
              </w:rPr>
              <w:t>数据安全与隐私合规。</w:t>
            </w:r>
          </w:p>
          <w:p w14:paraId="6357A2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b/>
                <w:bCs/>
                <w:i w:val="0"/>
                <w:iCs w:val="0"/>
                <w:color w:val="auto"/>
                <w:kern w:val="0"/>
                <w:sz w:val="22"/>
                <w:szCs w:val="22"/>
                <w:highlight w:val="none"/>
                <w:u w:val="none"/>
                <w:lang w:val="en-US" w:eastAsia="zh-CN" w:bidi="ar"/>
              </w:rPr>
              <w:t>3.打造信令驱动的进出京全维度人口动态感知与规律研判能力体系。</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形成常态化人口流动监测、节假日专项客流预判、城市活动人流联动分析全闭环的业务服务模式，适</w:t>
            </w:r>
            <w:r>
              <w:rPr>
                <w:rFonts w:hint="eastAsia" w:ascii="仿宋_GB2312" w:hAnsi="仿宋_GB2312" w:eastAsia="仿宋_GB2312" w:cs="仿宋_GB2312"/>
                <w:i w:val="0"/>
                <w:iCs w:val="0"/>
                <w:color w:val="auto"/>
                <w:kern w:val="0"/>
                <w:sz w:val="22"/>
                <w:szCs w:val="22"/>
                <w:highlight w:val="none"/>
                <w:u w:val="none"/>
                <w:lang w:val="en-US" w:eastAsia="zh-CN" w:bidi="ar"/>
              </w:rPr>
              <w:t>配首都超大城市精细化治理需求。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CFC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lang w:val="en-US" w:eastAsia="zh-CN" w:bidi="ar"/>
              </w:rPr>
            </w:pPr>
            <w:r>
              <w:rPr>
                <w:rFonts w:hint="eastAsia" w:ascii="仿宋_GB2312" w:hAnsi="仿宋_GB2312" w:eastAsia="仿宋_GB2312" w:cs="仿宋_GB2312"/>
                <w:i w:val="0"/>
                <w:iCs w:val="0"/>
                <w:color w:val="auto"/>
                <w:kern w:val="0"/>
                <w:sz w:val="22"/>
                <w:szCs w:val="22"/>
                <w:highlight w:val="none"/>
                <w:lang w:val="en-US" w:eastAsia="zh-CN" w:bidi="ar"/>
              </w:rPr>
              <w:t>林双双</w:t>
            </w:r>
          </w:p>
          <w:p w14:paraId="4841CFB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lang w:val="en-US" w:eastAsia="zh-CN" w:bidi="ar"/>
              </w:rPr>
            </w:pPr>
            <w:r>
              <w:rPr>
                <w:rFonts w:hint="eastAsia" w:ascii="仿宋_GB2312" w:hAnsi="仿宋_GB2312" w:eastAsia="仿宋_GB2312" w:cs="仿宋_GB2312"/>
                <w:i w:val="0"/>
                <w:iCs w:val="0"/>
                <w:color w:val="auto"/>
                <w:kern w:val="0"/>
                <w:sz w:val="22"/>
                <w:szCs w:val="22"/>
                <w:highlight w:val="none"/>
                <w:lang w:val="en-US" w:eastAsia="zh-CN" w:bidi="ar"/>
              </w:rPr>
              <w:t>13810732193</w:t>
            </w:r>
          </w:p>
          <w:p w14:paraId="5C77E24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lang w:val="en-US" w:eastAsia="zh-CN" w:bidi="ar"/>
              </w:rPr>
            </w:pPr>
            <w:r>
              <w:rPr>
                <w:rFonts w:hint="eastAsia" w:ascii="仿宋_GB2312" w:hAnsi="仿宋_GB2312" w:eastAsia="仿宋_GB2312" w:cs="仿宋_GB2312"/>
                <w:i w:val="0"/>
                <w:iCs w:val="0"/>
                <w:color w:val="auto"/>
                <w:kern w:val="0"/>
                <w:sz w:val="22"/>
                <w:szCs w:val="22"/>
                <w:highlight w:val="none"/>
                <w:lang w:val="en-US" w:eastAsia="zh-CN" w:bidi="ar"/>
              </w:rPr>
              <w:t>linshuangshuang@bj.chinamobile.com</w:t>
            </w:r>
          </w:p>
        </w:tc>
      </w:tr>
      <w:tr w14:paraId="4B69DF6B">
        <w:tblPrEx>
          <w:tblCellMar>
            <w:top w:w="0" w:type="dxa"/>
            <w:left w:w="108" w:type="dxa"/>
            <w:bottom w:w="0" w:type="dxa"/>
            <w:right w:w="108" w:type="dxa"/>
          </w:tblCellMar>
        </w:tblPrEx>
        <w:trPr>
          <w:trHeight w:val="7766" w:hRule="atLeast"/>
        </w:trPr>
        <w:tc>
          <w:tcPr>
            <w:tcW w:w="159" w:type="pct"/>
            <w:tcBorders>
              <w:top w:val="single" w:color="000000" w:sz="4" w:space="0"/>
              <w:left w:val="single" w:color="000000" w:sz="4" w:space="0"/>
              <w:bottom w:val="single" w:color="000000" w:sz="4" w:space="0"/>
              <w:right w:val="single" w:color="000000" w:sz="4" w:space="0"/>
            </w:tcBorders>
            <w:vAlign w:val="center"/>
          </w:tcPr>
          <w:p w14:paraId="5E8D9F2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4</w:t>
            </w:r>
          </w:p>
        </w:tc>
        <w:tc>
          <w:tcPr>
            <w:tcW w:w="244" w:type="pct"/>
            <w:tcBorders>
              <w:top w:val="single" w:color="000000" w:sz="4" w:space="0"/>
              <w:left w:val="single" w:color="000000" w:sz="4" w:space="0"/>
              <w:bottom w:val="single" w:color="000000" w:sz="4" w:space="0"/>
              <w:right w:val="single" w:color="000000" w:sz="4" w:space="0"/>
            </w:tcBorders>
            <w:vAlign w:val="center"/>
          </w:tcPr>
          <w:p w14:paraId="5140660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highlight w:val="none"/>
                <w:lang w:val="en-US" w:eastAsia="zh-CN"/>
              </w:rPr>
              <w:t>信令实验室</w:t>
            </w:r>
            <w:r>
              <w:rPr>
                <w:rFonts w:hint="eastAsia" w:ascii="仿宋_GB2312" w:hAnsi="仿宋_GB2312" w:eastAsia="仿宋_GB2312" w:cs="仿宋_GB2312"/>
                <w:i w:val="0"/>
                <w:iCs w:val="0"/>
                <w:color w:val="auto"/>
                <w:kern w:val="0"/>
                <w:sz w:val="22"/>
                <w:szCs w:val="22"/>
                <w:highlight w:val="none"/>
                <w:u w:val="none"/>
                <w:lang w:val="en-US" w:eastAsia="zh-CN" w:bidi="ar"/>
              </w:rPr>
              <w:t>城市空间活力与消费研究应用场景</w:t>
            </w:r>
          </w:p>
        </w:tc>
        <w:tc>
          <w:tcPr>
            <w:tcW w:w="314" w:type="pct"/>
            <w:tcBorders>
              <w:top w:val="single" w:color="000000" w:sz="4" w:space="0"/>
              <w:left w:val="single" w:color="000000" w:sz="4" w:space="0"/>
              <w:bottom w:val="single" w:color="000000" w:sz="4" w:space="0"/>
              <w:right w:val="single" w:color="000000" w:sz="4" w:space="0"/>
            </w:tcBorders>
            <w:vAlign w:val="center"/>
          </w:tcPr>
          <w:p w14:paraId="44F107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北京移动</w:t>
            </w:r>
          </w:p>
        </w:tc>
        <w:tc>
          <w:tcPr>
            <w:tcW w:w="239" w:type="pct"/>
            <w:tcBorders>
              <w:top w:val="single" w:color="000000" w:sz="4" w:space="0"/>
              <w:left w:val="single" w:color="000000" w:sz="4" w:space="0"/>
              <w:bottom w:val="single" w:color="000000" w:sz="4" w:space="0"/>
              <w:right w:val="single" w:color="000000" w:sz="4" w:space="0"/>
            </w:tcBorders>
            <w:vAlign w:val="center"/>
          </w:tcPr>
          <w:p w14:paraId="1456B2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bidi="ar"/>
              </w:rPr>
            </w:pPr>
            <w:r>
              <w:rPr>
                <w:rFonts w:hint="eastAsia" w:ascii="仿宋_GB2312" w:hAnsi="仿宋_GB2312" w:eastAsia="仿宋_GB2312" w:cs="仿宋_GB2312"/>
                <w:i w:val="0"/>
                <w:iCs w:val="0"/>
                <w:color w:val="auto"/>
                <w:kern w:val="0"/>
                <w:sz w:val="22"/>
                <w:szCs w:val="22"/>
                <w:u w:val="none"/>
                <w:lang w:val="en-US" w:eastAsia="zh-CN" w:bidi="ar"/>
              </w:rPr>
              <w:t>数据创新</w:t>
            </w:r>
            <w:r>
              <w:rPr>
                <w:rFonts w:hint="eastAsia" w:ascii="仿宋_GB2312" w:hAnsi="仿宋_GB2312" w:eastAsia="仿宋_GB2312" w:cs="仿宋_GB2312"/>
                <w:i w:val="0"/>
                <w:iCs w:val="0"/>
                <w:color w:val="auto"/>
                <w:kern w:val="0"/>
                <w:sz w:val="22"/>
                <w:szCs w:val="22"/>
                <w:u w:val="none"/>
                <w:lang w:bidi="ar"/>
              </w:rPr>
              <w:t>类</w:t>
            </w:r>
          </w:p>
        </w:tc>
        <w:tc>
          <w:tcPr>
            <w:tcW w:w="978" w:type="pct"/>
            <w:tcBorders>
              <w:top w:val="single" w:color="000000" w:sz="4" w:space="0"/>
              <w:left w:val="single" w:color="000000" w:sz="4" w:space="0"/>
              <w:bottom w:val="single" w:color="000000" w:sz="4" w:space="0"/>
              <w:right w:val="single" w:color="000000" w:sz="4" w:space="0"/>
            </w:tcBorders>
            <w:vAlign w:val="center"/>
          </w:tcPr>
          <w:p w14:paraId="24AA44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依托数智北京创新中心信令实验室，基于</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电信运营商景区、商圈等</w:t>
            </w:r>
            <w:r>
              <w:rPr>
                <w:rFonts w:hint="eastAsia" w:ascii="仿宋_GB2312" w:hAnsi="仿宋_GB2312" w:eastAsia="仿宋_GB2312" w:cs="仿宋_GB2312"/>
                <w:i w:val="0"/>
                <w:iCs w:val="0"/>
                <w:color w:val="auto"/>
                <w:kern w:val="0"/>
                <w:sz w:val="22"/>
                <w:szCs w:val="22"/>
                <w:highlight w:val="none"/>
                <w:u w:val="none"/>
                <w:lang w:val="en-US" w:eastAsia="zh-CN" w:bidi="ar"/>
              </w:rPr>
              <w:t>信令数据，研发城市空间活力与消费场景时空分析专项模型，探索人口出行行为与城市空间消费带动效应，形成商圈活力、文旅客流、夜间经济分析体系，赋能超大城市消费空间监测评估、消费服务优化提质</w:t>
            </w:r>
            <w:r>
              <w:rPr>
                <w:rStyle w:val="29"/>
                <w:rFonts w:hint="eastAsia" w:ascii="仿宋_GB2312" w:hAnsi="仿宋_GB2312" w:eastAsia="仿宋_GB2312" w:cs="仿宋_GB2312"/>
                <w:b w:val="0"/>
                <w:bCs w:val="0"/>
                <w:i w:val="0"/>
                <w:iCs w:val="0"/>
                <w:color w:val="auto"/>
                <w:sz w:val="22"/>
                <w:szCs w:val="22"/>
                <w:highlight w:val="none"/>
                <w:lang w:val="en-US" w:eastAsia="zh-CN" w:bidi="ar"/>
              </w:rPr>
              <w:t>，助力国际消费中心城市建设</w:t>
            </w:r>
            <w:r>
              <w:rPr>
                <w:rFonts w:hint="eastAsia" w:ascii="仿宋_GB2312" w:hAnsi="仿宋_GB2312" w:eastAsia="仿宋_GB2312" w:cs="仿宋_GB2312"/>
                <w:i w:val="0"/>
                <w:iCs w:val="0"/>
                <w:color w:val="auto"/>
                <w:kern w:val="0"/>
                <w:sz w:val="22"/>
                <w:szCs w:val="22"/>
                <w:highlight w:val="none"/>
                <w:u w:val="none"/>
                <w:lang w:val="en-US" w:eastAsia="zh-CN" w:bidi="ar"/>
              </w:rPr>
              <w:t>。</w:t>
            </w:r>
          </w:p>
        </w:tc>
        <w:tc>
          <w:tcPr>
            <w:tcW w:w="1624" w:type="pct"/>
            <w:tcBorders>
              <w:top w:val="single" w:color="000000" w:sz="4" w:space="0"/>
              <w:left w:val="single" w:color="000000" w:sz="4" w:space="0"/>
              <w:bottom w:val="single" w:color="000000" w:sz="4" w:space="0"/>
              <w:right w:val="single" w:color="000000" w:sz="4" w:space="0"/>
            </w:tcBorders>
            <w:vAlign w:val="center"/>
          </w:tcPr>
          <w:p w14:paraId="5F83BD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29"/>
                <w:rFonts w:hint="eastAsia" w:ascii="仿宋_GB2312" w:hAnsi="仿宋_GB2312" w:eastAsia="仿宋_GB2312" w:cs="仿宋_GB2312"/>
                <w:b/>
                <w:bCs/>
                <w:i w:val="0"/>
                <w:iCs w:val="0"/>
                <w:color w:val="auto"/>
                <w:sz w:val="22"/>
                <w:szCs w:val="22"/>
                <w:highlight w:val="none"/>
                <w:lang w:val="en-US" w:eastAsia="zh-CN" w:bidi="ar"/>
              </w:rPr>
            </w:pPr>
            <w:r>
              <w:rPr>
                <w:rStyle w:val="29"/>
                <w:rFonts w:hint="eastAsia" w:ascii="仿宋_GB2312" w:hAnsi="仿宋_GB2312" w:eastAsia="仿宋_GB2312" w:cs="仿宋_GB2312"/>
                <w:b/>
                <w:bCs/>
                <w:i w:val="0"/>
                <w:iCs w:val="0"/>
                <w:color w:val="auto"/>
                <w:sz w:val="22"/>
                <w:szCs w:val="22"/>
                <w:highlight w:val="none"/>
                <w:lang w:val="en-US" w:eastAsia="zh-CN" w:bidi="ar"/>
              </w:rPr>
              <w:t>一、背景情况</w:t>
            </w:r>
          </w:p>
          <w:p w14:paraId="4E052A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29"/>
                <w:rFonts w:hint="eastAsia" w:ascii="仿宋_GB2312" w:hAnsi="仿宋_GB2312" w:eastAsia="仿宋_GB2312" w:cs="仿宋_GB2312"/>
                <w:b w:val="0"/>
                <w:bCs w:val="0"/>
                <w:i w:val="0"/>
                <w:iCs w:val="0"/>
                <w:color w:val="auto"/>
                <w:sz w:val="22"/>
                <w:szCs w:val="22"/>
                <w:highlight w:val="none"/>
                <w:lang w:val="en-US" w:eastAsia="zh-CN" w:bidi="ar"/>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当前北京城市商圈迭代、文旅业态多元发展、夜间经济持续繁荣，传统消费活力统计方式滞后、空间颗粒度粗糙、人流动态与消费关联割裂，无法精准量化区域空间热度、消费带动效能、业态运营潜力，亟需依托通信大数据，构建全时空、精细化城市消费空间活力感知研判体系。</w:t>
            </w:r>
          </w:p>
          <w:p w14:paraId="5EE5F9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29"/>
                <w:rFonts w:hint="eastAsia" w:ascii="仿宋_GB2312" w:hAnsi="仿宋_GB2312" w:eastAsia="仿宋_GB2312" w:cs="仿宋_GB2312"/>
                <w:b/>
                <w:bCs/>
                <w:i w:val="0"/>
                <w:iCs w:val="0"/>
                <w:color w:val="auto"/>
                <w:sz w:val="22"/>
                <w:szCs w:val="22"/>
                <w:highlight w:val="none"/>
                <w:lang w:val="en-US" w:eastAsia="zh-CN" w:bidi="ar"/>
              </w:rPr>
            </w:pPr>
            <w:r>
              <w:rPr>
                <w:rStyle w:val="29"/>
                <w:rFonts w:hint="eastAsia" w:ascii="仿宋_GB2312" w:hAnsi="仿宋_GB2312" w:eastAsia="仿宋_GB2312" w:cs="仿宋_GB2312"/>
                <w:b/>
                <w:bCs/>
                <w:i w:val="0"/>
                <w:iCs w:val="0"/>
                <w:color w:val="auto"/>
                <w:sz w:val="22"/>
                <w:szCs w:val="22"/>
                <w:highlight w:val="none"/>
                <w:lang w:val="en-US" w:eastAsia="zh-CN" w:bidi="ar"/>
              </w:rPr>
              <w:t>二、拟解决的问题</w:t>
            </w:r>
          </w:p>
          <w:p w14:paraId="460CEB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29"/>
                <w:rFonts w:hint="eastAsia" w:ascii="仿宋_GB2312" w:hAnsi="仿宋_GB2312" w:eastAsia="仿宋_GB2312" w:cs="仿宋_GB2312"/>
                <w:b w:val="0"/>
                <w:bCs w:val="0"/>
                <w:i w:val="0"/>
                <w:iCs w:val="0"/>
                <w:color w:val="auto"/>
                <w:sz w:val="22"/>
                <w:szCs w:val="22"/>
                <w:highlight w:val="none"/>
                <w:lang w:val="en-US" w:eastAsia="zh-CN" w:bidi="ar"/>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1.解决城市文旅景区、商圈、夜间经济空间活力感知不及时、研判维度单一问题。</w:t>
            </w:r>
          </w:p>
          <w:p w14:paraId="0F08F3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29"/>
                <w:rFonts w:hint="eastAsia" w:ascii="仿宋_GB2312" w:hAnsi="仿宋_GB2312" w:eastAsia="仿宋_GB2312" w:cs="仿宋_GB2312"/>
                <w:b w:val="0"/>
                <w:bCs w:val="0"/>
                <w:i w:val="0"/>
                <w:iCs w:val="0"/>
                <w:color w:val="auto"/>
                <w:sz w:val="22"/>
                <w:szCs w:val="22"/>
                <w:highlight w:val="none"/>
                <w:lang w:val="en-US" w:eastAsia="zh-CN" w:bidi="ar"/>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2.解决人口跨区域出行流动与消费行为关联规律无法精准量化分析难题。</w:t>
            </w:r>
          </w:p>
          <w:p w14:paraId="5590A1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sz w:val="22"/>
                <w:szCs w:val="22"/>
                <w:u w:val="none"/>
                <w:lang w:eastAsia="zh-CN"/>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3.解决消费热点区域打卡、人群复购特征不清晰，城市商业空间运营优化缺乏数据支撑痛点。</w:t>
            </w:r>
          </w:p>
        </w:tc>
        <w:tc>
          <w:tcPr>
            <w:tcW w:w="1050" w:type="pct"/>
            <w:tcBorders>
              <w:top w:val="single" w:color="000000" w:sz="4" w:space="0"/>
              <w:left w:val="single" w:color="000000" w:sz="4" w:space="0"/>
              <w:bottom w:val="single" w:color="000000" w:sz="4" w:space="0"/>
              <w:right w:val="single" w:color="000000" w:sz="4" w:space="0"/>
            </w:tcBorders>
            <w:vAlign w:val="center"/>
          </w:tcPr>
          <w:p w14:paraId="63AC2E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1.创新信令时空轨迹+城市消费业态多维耦合建模技术，</w:t>
            </w:r>
            <w:r>
              <w:rPr>
                <w:rFonts w:hint="eastAsia" w:ascii="仿宋_GB2312" w:hAnsi="仿宋_GB2312" w:eastAsia="仿宋_GB2312" w:cs="仿宋_GB2312"/>
                <w:i w:val="0"/>
                <w:iCs w:val="0"/>
                <w:color w:val="auto"/>
                <w:kern w:val="0"/>
                <w:sz w:val="22"/>
                <w:szCs w:val="22"/>
                <w:highlight w:val="none"/>
                <w:u w:val="none"/>
                <w:lang w:val="en-US" w:eastAsia="zh-CN" w:bidi="ar"/>
              </w:rPr>
              <w:t>识别主要消费打卡点和人群复购特征，实现城市全域空间活力、消费热度高精度动态量化评估。</w:t>
            </w:r>
          </w:p>
          <w:p w14:paraId="52E4FF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2.打造信令驱动的城市空间消费活力全链条分析体系，</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打造常态化商圈活力监测、文旅客流研判、夜间经济景气度评估全周期城市消费治理服务新模式</w:t>
            </w:r>
            <w:r>
              <w:rPr>
                <w:rFonts w:hint="eastAsia" w:ascii="仿宋_GB2312" w:hAnsi="仿宋_GB2312" w:eastAsia="仿宋_GB2312" w:cs="仿宋_GB2312"/>
                <w:b/>
                <w:bCs/>
                <w:i w:val="0"/>
                <w:iCs w:val="0"/>
                <w:color w:val="auto"/>
                <w:kern w:val="0"/>
                <w:sz w:val="22"/>
                <w:szCs w:val="22"/>
                <w:highlight w:val="none"/>
                <w:u w:val="none"/>
                <w:lang w:val="en-US" w:eastAsia="zh-CN" w:bidi="ar"/>
              </w:rPr>
              <w:t>，</w:t>
            </w:r>
            <w:r>
              <w:rPr>
                <w:rFonts w:hint="eastAsia" w:ascii="仿宋_GB2312" w:hAnsi="仿宋_GB2312" w:eastAsia="仿宋_GB2312" w:cs="仿宋_GB2312"/>
                <w:i w:val="0"/>
                <w:iCs w:val="0"/>
                <w:color w:val="auto"/>
                <w:kern w:val="0"/>
                <w:sz w:val="22"/>
                <w:szCs w:val="22"/>
                <w:highlight w:val="none"/>
                <w:u w:val="none"/>
                <w:lang w:val="en-US" w:eastAsia="zh-CN" w:bidi="ar"/>
              </w:rPr>
              <w:t>实现信令数据与商业消费场景数据安全融合与合规闭环应用。</w:t>
            </w:r>
          </w:p>
          <w:p w14:paraId="118D5F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b w:val="0"/>
                <w:bCs w:val="0"/>
                <w:i w:val="0"/>
                <w:iCs w:val="0"/>
                <w:color w:val="auto"/>
                <w:sz w:val="22"/>
                <w:szCs w:val="22"/>
                <w:u w:val="none"/>
                <w:lang w:val="en-US"/>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C12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lang w:val="en-US" w:eastAsia="zh-CN" w:bidi="ar"/>
              </w:rPr>
            </w:pPr>
            <w:r>
              <w:rPr>
                <w:rFonts w:hint="eastAsia" w:ascii="仿宋_GB2312" w:hAnsi="仿宋_GB2312" w:eastAsia="仿宋_GB2312" w:cs="仿宋_GB2312"/>
                <w:i w:val="0"/>
                <w:iCs w:val="0"/>
                <w:color w:val="auto"/>
                <w:kern w:val="0"/>
                <w:sz w:val="22"/>
                <w:szCs w:val="22"/>
                <w:highlight w:val="none"/>
                <w:lang w:val="en-US" w:eastAsia="zh-CN" w:bidi="ar"/>
              </w:rPr>
              <w:t>林双双</w:t>
            </w:r>
          </w:p>
          <w:p w14:paraId="16505A7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lang w:val="en-US" w:eastAsia="zh-CN" w:bidi="ar"/>
              </w:rPr>
            </w:pPr>
            <w:r>
              <w:rPr>
                <w:rFonts w:hint="eastAsia" w:ascii="仿宋_GB2312" w:hAnsi="仿宋_GB2312" w:eastAsia="仿宋_GB2312" w:cs="仿宋_GB2312"/>
                <w:i w:val="0"/>
                <w:iCs w:val="0"/>
                <w:color w:val="auto"/>
                <w:kern w:val="0"/>
                <w:sz w:val="22"/>
                <w:szCs w:val="22"/>
                <w:highlight w:val="none"/>
                <w:lang w:val="en-US" w:eastAsia="zh-CN" w:bidi="ar"/>
              </w:rPr>
              <w:t>13810732193</w:t>
            </w:r>
          </w:p>
          <w:p w14:paraId="5C88C8F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lang w:val="en-US" w:eastAsia="zh-CN" w:bidi="ar"/>
              </w:rPr>
            </w:pPr>
            <w:r>
              <w:rPr>
                <w:rFonts w:hint="eastAsia" w:ascii="仿宋_GB2312" w:hAnsi="仿宋_GB2312" w:eastAsia="仿宋_GB2312" w:cs="仿宋_GB2312"/>
                <w:i w:val="0"/>
                <w:iCs w:val="0"/>
                <w:color w:val="auto"/>
                <w:kern w:val="0"/>
                <w:sz w:val="22"/>
                <w:szCs w:val="22"/>
                <w:highlight w:val="none"/>
                <w:lang w:val="en-US" w:eastAsia="zh-CN" w:bidi="ar"/>
              </w:rPr>
              <w:t>linshuangshuang@bj.chinamobile.com</w:t>
            </w:r>
          </w:p>
        </w:tc>
      </w:tr>
      <w:tr w14:paraId="2D5AC26F">
        <w:tblPrEx>
          <w:tblCellMar>
            <w:top w:w="0" w:type="dxa"/>
            <w:left w:w="108" w:type="dxa"/>
            <w:bottom w:w="0" w:type="dxa"/>
            <w:right w:w="108" w:type="dxa"/>
          </w:tblCellMar>
        </w:tblPrEx>
        <w:trPr>
          <w:trHeight w:val="7766" w:hRule="atLeast"/>
        </w:trPr>
        <w:tc>
          <w:tcPr>
            <w:tcW w:w="159" w:type="pct"/>
            <w:tcBorders>
              <w:top w:val="single" w:color="000000" w:sz="4" w:space="0"/>
              <w:left w:val="single" w:color="000000" w:sz="4" w:space="0"/>
              <w:bottom w:val="single" w:color="000000" w:sz="4" w:space="0"/>
              <w:right w:val="single" w:color="000000" w:sz="4" w:space="0"/>
            </w:tcBorders>
            <w:vAlign w:val="center"/>
          </w:tcPr>
          <w:p w14:paraId="5DDE3A08">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DFC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基于轨道交通大模型的勘察行业高质量数据集建设应用场景</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62A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北京城建勘测设计研究有限责任公司</w:t>
            </w:r>
          </w:p>
        </w:tc>
        <w:tc>
          <w:tcPr>
            <w:tcW w:w="239" w:type="pct"/>
            <w:tcBorders>
              <w:top w:val="single" w:color="000000" w:sz="4" w:space="0"/>
              <w:left w:val="single" w:color="000000" w:sz="4" w:space="0"/>
              <w:bottom w:val="single" w:color="000000" w:sz="4" w:space="0"/>
              <w:right w:val="single" w:color="000000" w:sz="4" w:space="0"/>
            </w:tcBorders>
            <w:vAlign w:val="center"/>
          </w:tcPr>
          <w:p w14:paraId="29E97FA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数智应用类</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E96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iCs/>
                <w:color w:val="auto"/>
                <w:kern w:val="2"/>
                <w:sz w:val="22"/>
                <w:szCs w:val="22"/>
                <w:highlight w:val="none"/>
                <w:lang w:val="en-US" w:eastAsia="zh-CN" w:bidi="ar-SA"/>
              </w:rPr>
            </w:pPr>
            <w:r>
              <w:rPr>
                <w:rFonts w:hint="eastAsia" w:ascii="仿宋_GB2312" w:hAnsi="仿宋_GB2312" w:eastAsia="仿宋_GB2312" w:cs="仿宋_GB2312"/>
                <w:i w:val="0"/>
                <w:iCs w:val="0"/>
                <w:color w:val="auto"/>
                <w:kern w:val="0"/>
                <w:sz w:val="22"/>
                <w:szCs w:val="22"/>
                <w:highlight w:val="none"/>
                <w:u w:val="none"/>
                <w:lang w:val="en-US" w:eastAsia="zh-CN" w:bidi="ar"/>
              </w:rPr>
              <w:t>围绕轨道交通勘察行业地质资料数据资产化基础薄弱、检索效率低等现状，基于脱敏多源地质勘察数据与真实业务场景，利用AI大模型、智能体、RAG等技术，构建高质量数据集并开发三个专业智能体应用，打造勘察知识检索、地下水位预测与地质风险辨识一体化能力，实现从“数据资源”到“智能应用”的价值跃升。</w:t>
            </w:r>
          </w:p>
        </w:tc>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9C8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Style w:val="29"/>
                <w:rFonts w:hint="eastAsia" w:ascii="仿宋_GB2312" w:hAnsi="仿宋_GB2312" w:eastAsia="仿宋_GB2312" w:cs="仿宋_GB2312"/>
                <w:b/>
                <w:bCs/>
                <w:i w:val="0"/>
                <w:iCs w:val="0"/>
                <w:color w:val="auto"/>
                <w:sz w:val="22"/>
                <w:szCs w:val="22"/>
                <w:highlight w:val="none"/>
                <w:lang w:val="en-US" w:eastAsia="zh-CN" w:bidi="ar"/>
              </w:rPr>
            </w:pPr>
            <w:r>
              <w:rPr>
                <w:rStyle w:val="29"/>
                <w:rFonts w:hint="eastAsia" w:ascii="仿宋_GB2312" w:hAnsi="仿宋_GB2312" w:eastAsia="仿宋_GB2312" w:cs="仿宋_GB2312"/>
                <w:b/>
                <w:bCs/>
                <w:i w:val="0"/>
                <w:iCs w:val="0"/>
                <w:color w:val="auto"/>
                <w:sz w:val="22"/>
                <w:szCs w:val="22"/>
                <w:highlight w:val="none"/>
                <w:lang w:val="en-US" w:eastAsia="zh-CN" w:bidi="ar"/>
              </w:rPr>
              <w:t>一、背景情况</w:t>
            </w:r>
          </w:p>
          <w:p w14:paraId="5DC02DC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Style w:val="29"/>
                <w:rFonts w:hint="eastAsia" w:ascii="仿宋_GB2312" w:hAnsi="仿宋_GB2312" w:eastAsia="仿宋_GB2312" w:cs="仿宋_GB2312"/>
                <w:b w:val="0"/>
                <w:bCs w:val="0"/>
                <w:i w:val="0"/>
                <w:iCs w:val="0"/>
                <w:color w:val="auto"/>
                <w:sz w:val="22"/>
                <w:szCs w:val="22"/>
                <w:highlight w:val="none"/>
                <w:lang w:val="en-US" w:eastAsia="zh-CN" w:bidi="ar"/>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城市轨道交通多穿梭于建成区，地下管线密集、地质条件复杂多变，需要在勘察阶段精准掌握地下水位动态和地质风险分布，规避各类安全事故，提高建设效率。然而，当前地质勘察资料管理以文件级存储为主，依赖传统关键词匹配与人工查阅，效率、准度不足，难以支撑高效、智能化的地质风险判识。需通过人工智能赋能知识工程建设，实现行业数据标准化与结构化治理，达成数据驱动与知识引导的智能决策。</w:t>
            </w:r>
          </w:p>
          <w:p w14:paraId="40F4211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Style w:val="29"/>
                <w:rFonts w:hint="eastAsia" w:ascii="仿宋_GB2312" w:hAnsi="仿宋_GB2312" w:eastAsia="仿宋_GB2312" w:cs="仿宋_GB2312"/>
                <w:b/>
                <w:bCs/>
                <w:i w:val="0"/>
                <w:iCs w:val="0"/>
                <w:color w:val="auto"/>
                <w:sz w:val="22"/>
                <w:szCs w:val="22"/>
                <w:highlight w:val="none"/>
                <w:lang w:val="en-US" w:eastAsia="zh-CN" w:bidi="ar"/>
              </w:rPr>
            </w:pPr>
            <w:r>
              <w:rPr>
                <w:rStyle w:val="29"/>
                <w:rFonts w:hint="eastAsia" w:ascii="仿宋_GB2312" w:hAnsi="仿宋_GB2312" w:eastAsia="仿宋_GB2312" w:cs="仿宋_GB2312"/>
                <w:b/>
                <w:bCs/>
                <w:i w:val="0"/>
                <w:iCs w:val="0"/>
                <w:color w:val="auto"/>
                <w:sz w:val="22"/>
                <w:szCs w:val="22"/>
                <w:highlight w:val="none"/>
                <w:lang w:val="en-US" w:eastAsia="zh-CN" w:bidi="ar"/>
              </w:rPr>
              <w:t>二、拟解决的问题</w:t>
            </w:r>
          </w:p>
          <w:p w14:paraId="5137FEF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Style w:val="29"/>
                <w:rFonts w:hint="eastAsia" w:ascii="仿宋_GB2312" w:hAnsi="仿宋_GB2312" w:eastAsia="仿宋_GB2312" w:cs="仿宋_GB2312"/>
                <w:b w:val="0"/>
                <w:bCs w:val="0"/>
                <w:i w:val="0"/>
                <w:iCs w:val="0"/>
                <w:color w:val="auto"/>
                <w:sz w:val="22"/>
                <w:szCs w:val="22"/>
                <w:highlight w:val="none"/>
                <w:lang w:val="en-US" w:eastAsia="zh-CN" w:bidi="ar"/>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1.地质资料检索效率低、人工依赖重：非结构化数据难以实现语义精准定位，需要利用RAG、大模型技术帮助工程师口语化提问获取信息。</w:t>
            </w:r>
          </w:p>
          <w:p w14:paraId="35E342B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Style w:val="29"/>
                <w:rFonts w:hint="eastAsia" w:ascii="仿宋_GB2312" w:hAnsi="仿宋_GB2312" w:eastAsia="仿宋_GB2312" w:cs="仿宋_GB2312"/>
                <w:b w:val="0"/>
                <w:bCs w:val="0"/>
                <w:i w:val="0"/>
                <w:iCs w:val="0"/>
                <w:color w:val="auto"/>
                <w:sz w:val="22"/>
                <w:szCs w:val="22"/>
                <w:highlight w:val="none"/>
                <w:lang w:val="en-US" w:eastAsia="zh-CN" w:bidi="ar"/>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2.地下水位预测迟滞：基于机理的数值模型参数率定复杂、计算周期长、难以快速同化实时监测数据，需要利用大模型融合多种预测方法实现趋势和动态快速预测分析，满足工程安全保障的需求。</w:t>
            </w:r>
          </w:p>
          <w:p w14:paraId="79674BA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2"/>
                <w:szCs w:val="22"/>
                <w:highlight w:val="none"/>
                <w:lang w:val="en-US" w:eastAsia="zh-CN" w:bidi="ar-SA"/>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3.地质风险辨识主观性强：风险辨识和评价过度依赖专家经验，需要利用大模型与知识图谱等方式结合地质水文与工程条件进行快速辨识和分析评价。</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16E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b w:val="0"/>
                <w:bCs w:val="0"/>
                <w:i w:val="0"/>
                <w:iCs w:val="0"/>
                <w:color w:val="auto"/>
                <w:sz w:val="22"/>
                <w:szCs w:val="22"/>
                <w:u w:val="none"/>
                <w:lang w:val="en-US"/>
              </w:rPr>
            </w:pPr>
            <w:r>
              <w:rPr>
                <w:rFonts w:hint="eastAsia" w:ascii="仿宋_GB2312" w:hAnsi="仿宋_GB2312" w:eastAsia="仿宋_GB2312" w:cs="仿宋_GB2312"/>
                <w:b/>
                <w:bCs/>
                <w:i w:val="0"/>
                <w:iCs w:val="0"/>
                <w:color w:val="auto"/>
                <w:sz w:val="22"/>
                <w:szCs w:val="22"/>
                <w:u w:val="none"/>
                <w:lang w:val="en-US" w:eastAsia="zh-CN"/>
              </w:rPr>
              <w:t>1.构建“大模型+RAG+知识图谱”深度融合的复合智能体群。</w:t>
            </w:r>
            <w:r>
              <w:rPr>
                <w:rFonts w:hint="eastAsia" w:ascii="仿宋_GB2312" w:hAnsi="仿宋_GB2312" w:eastAsia="仿宋_GB2312" w:cs="仿宋_GB2312"/>
                <w:b w:val="0"/>
                <w:bCs w:val="0"/>
                <w:i w:val="0"/>
                <w:iCs w:val="0"/>
                <w:color w:val="auto"/>
                <w:sz w:val="22"/>
                <w:szCs w:val="22"/>
                <w:u w:val="none"/>
                <w:lang w:val="en-US"/>
              </w:rPr>
              <w:t>实现地质资料的自然语言语义检索，</w:t>
            </w:r>
            <w:r>
              <w:rPr>
                <w:rFonts w:hint="eastAsia" w:ascii="仿宋_GB2312" w:hAnsi="仿宋_GB2312" w:eastAsia="仿宋_GB2312" w:cs="仿宋_GB2312"/>
                <w:b w:val="0"/>
                <w:bCs w:val="0"/>
                <w:i w:val="0"/>
                <w:iCs w:val="0"/>
                <w:color w:val="auto"/>
                <w:sz w:val="22"/>
                <w:szCs w:val="22"/>
                <w:u w:val="none"/>
                <w:lang w:val="en-US" w:eastAsia="zh-CN"/>
              </w:rPr>
              <w:t>并</w:t>
            </w:r>
            <w:r>
              <w:rPr>
                <w:rFonts w:hint="eastAsia" w:ascii="仿宋_GB2312" w:hAnsi="仿宋_GB2312" w:eastAsia="仿宋_GB2312" w:cs="仿宋_GB2312"/>
                <w:b w:val="0"/>
                <w:bCs w:val="0"/>
                <w:i w:val="0"/>
                <w:iCs w:val="0"/>
                <w:color w:val="auto"/>
                <w:sz w:val="22"/>
                <w:szCs w:val="22"/>
                <w:u w:val="none"/>
                <w:lang w:val="en-US"/>
              </w:rPr>
              <w:t>将检索、地下水位预测、地质风险辨识整合为协同工作的专业智能体，突破单一模型的能力边界。</w:t>
            </w:r>
          </w:p>
          <w:p w14:paraId="085696D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b w:val="0"/>
                <w:bCs w:val="0"/>
                <w:i w:val="0"/>
                <w:iCs w:val="0"/>
                <w:color w:val="auto"/>
                <w:sz w:val="22"/>
                <w:szCs w:val="22"/>
                <w:u w:val="none"/>
                <w:lang w:val="en-US"/>
              </w:rPr>
            </w:pPr>
            <w:r>
              <w:rPr>
                <w:rFonts w:hint="eastAsia" w:ascii="仿宋_GB2312" w:hAnsi="仿宋_GB2312" w:eastAsia="仿宋_GB2312" w:cs="仿宋_GB2312"/>
                <w:b/>
                <w:bCs/>
                <w:i w:val="0"/>
                <w:iCs w:val="0"/>
                <w:color w:val="auto"/>
                <w:sz w:val="22"/>
                <w:szCs w:val="22"/>
                <w:u w:val="none"/>
                <w:lang w:val="en-US" w:eastAsia="zh-CN"/>
              </w:rPr>
              <w:t>2.构建轨道交通领域地质勘察高质量数据集与专业知识库。</w:t>
            </w:r>
            <w:r>
              <w:rPr>
                <w:rFonts w:hint="eastAsia" w:ascii="仿宋_GB2312" w:hAnsi="仿宋_GB2312" w:eastAsia="仿宋_GB2312" w:cs="仿宋_GB2312"/>
                <w:b w:val="0"/>
                <w:bCs w:val="0"/>
                <w:i w:val="0"/>
                <w:iCs w:val="0"/>
                <w:color w:val="auto"/>
                <w:sz w:val="22"/>
                <w:szCs w:val="22"/>
                <w:u w:val="none"/>
                <w:lang w:val="en-US"/>
              </w:rPr>
              <w:t>系统性治理与融合轨道交通勘察领域的多源异构数据</w:t>
            </w:r>
            <w:r>
              <w:rPr>
                <w:rFonts w:hint="eastAsia" w:ascii="仿宋_GB2312" w:hAnsi="仿宋_GB2312" w:eastAsia="仿宋_GB2312" w:cs="仿宋_GB2312"/>
                <w:b w:val="0"/>
                <w:bCs w:val="0"/>
                <w:i w:val="0"/>
                <w:iCs w:val="0"/>
                <w:color w:val="auto"/>
                <w:sz w:val="22"/>
                <w:szCs w:val="22"/>
                <w:u w:val="none"/>
                <w:lang w:val="en-US" w:eastAsia="zh-CN"/>
              </w:rPr>
              <w:t>，</w:t>
            </w:r>
            <w:r>
              <w:rPr>
                <w:rFonts w:hint="eastAsia" w:ascii="仿宋_GB2312" w:hAnsi="仿宋_GB2312" w:eastAsia="仿宋_GB2312" w:cs="仿宋_GB2312"/>
                <w:b w:val="0"/>
                <w:bCs w:val="0"/>
                <w:i w:val="0"/>
                <w:iCs w:val="0"/>
                <w:color w:val="auto"/>
                <w:sz w:val="22"/>
                <w:szCs w:val="22"/>
                <w:u w:val="none"/>
                <w:lang w:val="en-US"/>
              </w:rPr>
              <w:t>为AI应用提供可复用的数据底座。</w:t>
            </w:r>
          </w:p>
          <w:p w14:paraId="3F398F7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2"/>
                <w:szCs w:val="22"/>
                <w:highlight w:val="none"/>
                <w:lang w:val="en-US" w:eastAsia="zh-CN" w:bidi="ar-SA"/>
              </w:rPr>
            </w:pPr>
            <w:r>
              <w:rPr>
                <w:rFonts w:hint="eastAsia" w:ascii="仿宋_GB2312" w:hAnsi="仿宋_GB2312" w:eastAsia="仿宋_GB2312" w:cs="仿宋_GB2312"/>
                <w:b/>
                <w:bCs/>
                <w:i w:val="0"/>
                <w:iCs w:val="0"/>
                <w:color w:val="auto"/>
                <w:sz w:val="22"/>
                <w:szCs w:val="22"/>
                <w:u w:val="none"/>
                <w:lang w:val="en-US" w:eastAsia="zh-CN"/>
              </w:rPr>
              <w:t>3.为交通基础设施地质勘察智能化提供标准范式。</w:t>
            </w:r>
            <w:r>
              <w:rPr>
                <w:rFonts w:hint="eastAsia" w:ascii="仿宋_GB2312" w:hAnsi="仿宋_GB2312" w:eastAsia="仿宋_GB2312" w:cs="仿宋_GB2312"/>
                <w:b w:val="0"/>
                <w:bCs w:val="0"/>
                <w:i w:val="0"/>
                <w:iCs w:val="0"/>
                <w:color w:val="auto"/>
                <w:sz w:val="22"/>
                <w:szCs w:val="22"/>
                <w:u w:val="none"/>
                <w:lang w:val="en-US" w:eastAsia="zh-CN"/>
              </w:rPr>
              <w:t>形成城市地下空间开发“资料检索—水位预测—风险研判”完整智能作业流，并探索向公路隧道、铁路路基等场景推广复用。</w:t>
            </w:r>
          </w:p>
        </w:tc>
        <w:tc>
          <w:tcPr>
            <w:tcW w:w="389" w:type="pct"/>
            <w:tcBorders>
              <w:top w:val="single" w:color="000000" w:sz="4" w:space="0"/>
              <w:left w:val="single" w:color="000000" w:sz="4" w:space="0"/>
              <w:bottom w:val="single" w:color="000000" w:sz="4" w:space="0"/>
              <w:right w:val="single" w:color="000000" w:sz="4" w:space="0"/>
            </w:tcBorders>
            <w:vAlign w:val="center"/>
          </w:tcPr>
          <w:p w14:paraId="1061D47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王超</w:t>
            </w:r>
          </w:p>
          <w:p w14:paraId="0199FAB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17710796735</w:t>
            </w:r>
          </w:p>
          <w:p w14:paraId="229DEFA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yfeng_fly@foxmail.com</w:t>
            </w:r>
          </w:p>
        </w:tc>
      </w:tr>
    </w:tbl>
    <w:p w14:paraId="73A2E42E">
      <w:pPr>
        <w:widowControl/>
        <w:spacing w:line="560" w:lineRule="exact"/>
        <w:jc w:val="left"/>
        <w:outlineLvl w:val="0"/>
        <w:rPr>
          <w:rFonts w:hint="eastAsia" w:ascii="Times New Roman" w:hAnsi="Times New Roman" w:eastAsia="黑体" w:cs="黑体"/>
          <w:color w:val="000000" w:themeColor="text1"/>
          <w:sz w:val="32"/>
          <w:szCs w:val="32"/>
          <w:highlight w:val="none"/>
          <w14:textFill>
            <w14:solidFill>
              <w14:schemeClr w14:val="tx1"/>
            </w14:solidFill>
          </w14:textFill>
        </w:rPr>
        <w:sectPr>
          <w:headerReference r:id="rId3" w:type="default"/>
          <w:footerReference r:id="rId4" w:type="default"/>
          <w:pgSz w:w="16838" w:h="11905" w:orient="landscape"/>
          <w:pgMar w:top="1803" w:right="1440" w:bottom="1803" w:left="1440" w:header="851" w:footer="992" w:gutter="0"/>
          <w:cols w:space="720" w:num="1"/>
          <w:docGrid w:type="lines" w:linePitch="325" w:charSpace="0"/>
        </w:sectPr>
      </w:pPr>
    </w:p>
    <w:p w14:paraId="3538A9FE">
      <w:pPr>
        <w:rPr>
          <w:rFonts w:ascii="Times New Roman" w:hAnsi="Times New Roma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78C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DB8E">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A1947CF"/>
    <w:rsid w:val="00056FB6"/>
    <w:rsid w:val="000D3089"/>
    <w:rsid w:val="000E5D72"/>
    <w:rsid w:val="001373D9"/>
    <w:rsid w:val="00223F17"/>
    <w:rsid w:val="002610D4"/>
    <w:rsid w:val="00261842"/>
    <w:rsid w:val="00262B68"/>
    <w:rsid w:val="002F5F75"/>
    <w:rsid w:val="00316858"/>
    <w:rsid w:val="00317A88"/>
    <w:rsid w:val="00331371"/>
    <w:rsid w:val="00345656"/>
    <w:rsid w:val="0038382E"/>
    <w:rsid w:val="00394586"/>
    <w:rsid w:val="003B14F1"/>
    <w:rsid w:val="004A548F"/>
    <w:rsid w:val="004F14B7"/>
    <w:rsid w:val="00554655"/>
    <w:rsid w:val="00580A30"/>
    <w:rsid w:val="005F24C5"/>
    <w:rsid w:val="00605769"/>
    <w:rsid w:val="00606854"/>
    <w:rsid w:val="00624A3B"/>
    <w:rsid w:val="006442A6"/>
    <w:rsid w:val="00654B4B"/>
    <w:rsid w:val="00674445"/>
    <w:rsid w:val="006814CC"/>
    <w:rsid w:val="006B1F06"/>
    <w:rsid w:val="006C590B"/>
    <w:rsid w:val="006D6A95"/>
    <w:rsid w:val="006F20E7"/>
    <w:rsid w:val="007B435C"/>
    <w:rsid w:val="00810FD9"/>
    <w:rsid w:val="0081652B"/>
    <w:rsid w:val="00854977"/>
    <w:rsid w:val="008E7BB5"/>
    <w:rsid w:val="00982BC8"/>
    <w:rsid w:val="009A7541"/>
    <w:rsid w:val="009F00EF"/>
    <w:rsid w:val="00A075D7"/>
    <w:rsid w:val="00A448FF"/>
    <w:rsid w:val="00A5779A"/>
    <w:rsid w:val="00A7008D"/>
    <w:rsid w:val="00AB032D"/>
    <w:rsid w:val="00AB0EB7"/>
    <w:rsid w:val="00AC55B6"/>
    <w:rsid w:val="00AF5435"/>
    <w:rsid w:val="00B1447F"/>
    <w:rsid w:val="00B246E6"/>
    <w:rsid w:val="00B73B9F"/>
    <w:rsid w:val="00B777D7"/>
    <w:rsid w:val="00BB662D"/>
    <w:rsid w:val="00BF62FD"/>
    <w:rsid w:val="00C4160C"/>
    <w:rsid w:val="00C81AB2"/>
    <w:rsid w:val="00C97D98"/>
    <w:rsid w:val="00CC241A"/>
    <w:rsid w:val="00CD1788"/>
    <w:rsid w:val="00D20E63"/>
    <w:rsid w:val="00D62490"/>
    <w:rsid w:val="00D678E1"/>
    <w:rsid w:val="00D81736"/>
    <w:rsid w:val="00E14D99"/>
    <w:rsid w:val="00E4426A"/>
    <w:rsid w:val="00E503A4"/>
    <w:rsid w:val="00E51382"/>
    <w:rsid w:val="00EB1C0E"/>
    <w:rsid w:val="00EC1826"/>
    <w:rsid w:val="00EC3238"/>
    <w:rsid w:val="00ED7762"/>
    <w:rsid w:val="00F05477"/>
    <w:rsid w:val="00F11C6A"/>
    <w:rsid w:val="00F33C3C"/>
    <w:rsid w:val="00F86C36"/>
    <w:rsid w:val="00FE4450"/>
    <w:rsid w:val="012422A5"/>
    <w:rsid w:val="0128340D"/>
    <w:rsid w:val="0187402D"/>
    <w:rsid w:val="01CB7837"/>
    <w:rsid w:val="020D7F5E"/>
    <w:rsid w:val="0289503D"/>
    <w:rsid w:val="029167E5"/>
    <w:rsid w:val="02E334E5"/>
    <w:rsid w:val="03472502"/>
    <w:rsid w:val="037062E2"/>
    <w:rsid w:val="039E565E"/>
    <w:rsid w:val="04390EE3"/>
    <w:rsid w:val="04E80AA5"/>
    <w:rsid w:val="052D6055"/>
    <w:rsid w:val="054F4E62"/>
    <w:rsid w:val="057E12A3"/>
    <w:rsid w:val="059D4CC1"/>
    <w:rsid w:val="05BF1C01"/>
    <w:rsid w:val="061D286A"/>
    <w:rsid w:val="062E7FE1"/>
    <w:rsid w:val="067405F4"/>
    <w:rsid w:val="07060075"/>
    <w:rsid w:val="070849AB"/>
    <w:rsid w:val="070D149F"/>
    <w:rsid w:val="075861C7"/>
    <w:rsid w:val="079AB5C0"/>
    <w:rsid w:val="07E13D6B"/>
    <w:rsid w:val="0822122F"/>
    <w:rsid w:val="08971A59"/>
    <w:rsid w:val="08EE6DF2"/>
    <w:rsid w:val="09B46DD4"/>
    <w:rsid w:val="09C006A7"/>
    <w:rsid w:val="0A9C3F7A"/>
    <w:rsid w:val="0AF12517"/>
    <w:rsid w:val="0B1E3309"/>
    <w:rsid w:val="0B5C2086"/>
    <w:rsid w:val="0BEF1972"/>
    <w:rsid w:val="0C011682"/>
    <w:rsid w:val="0C8E531B"/>
    <w:rsid w:val="0CE20CA2"/>
    <w:rsid w:val="0DCF2837"/>
    <w:rsid w:val="0DD00B0A"/>
    <w:rsid w:val="0DEB1499"/>
    <w:rsid w:val="0DF447F8"/>
    <w:rsid w:val="0E2A3E4A"/>
    <w:rsid w:val="0E414D48"/>
    <w:rsid w:val="0E567261"/>
    <w:rsid w:val="0EDC4F74"/>
    <w:rsid w:val="0EF94BFA"/>
    <w:rsid w:val="0F504066"/>
    <w:rsid w:val="0FA723BA"/>
    <w:rsid w:val="106D01BA"/>
    <w:rsid w:val="10B97633"/>
    <w:rsid w:val="10EA711E"/>
    <w:rsid w:val="10FE4BED"/>
    <w:rsid w:val="11020FDA"/>
    <w:rsid w:val="118656C5"/>
    <w:rsid w:val="11C159AF"/>
    <w:rsid w:val="11E06E1D"/>
    <w:rsid w:val="11E607FA"/>
    <w:rsid w:val="12BB2748"/>
    <w:rsid w:val="12C003B3"/>
    <w:rsid w:val="12F9465F"/>
    <w:rsid w:val="13394518"/>
    <w:rsid w:val="133B6A25"/>
    <w:rsid w:val="13C066C4"/>
    <w:rsid w:val="14013435"/>
    <w:rsid w:val="141C6857"/>
    <w:rsid w:val="1493692C"/>
    <w:rsid w:val="14C30A80"/>
    <w:rsid w:val="14F93100"/>
    <w:rsid w:val="15536BEB"/>
    <w:rsid w:val="159B646C"/>
    <w:rsid w:val="15EF4971"/>
    <w:rsid w:val="16157132"/>
    <w:rsid w:val="163360DA"/>
    <w:rsid w:val="163D0D06"/>
    <w:rsid w:val="166B1213"/>
    <w:rsid w:val="16FD1C47"/>
    <w:rsid w:val="17137B51"/>
    <w:rsid w:val="175F37DC"/>
    <w:rsid w:val="176C18A3"/>
    <w:rsid w:val="17A54DB5"/>
    <w:rsid w:val="17A806FA"/>
    <w:rsid w:val="17BA34D1"/>
    <w:rsid w:val="17D105AC"/>
    <w:rsid w:val="18185587"/>
    <w:rsid w:val="181E3DA1"/>
    <w:rsid w:val="18B91CF1"/>
    <w:rsid w:val="18BB3521"/>
    <w:rsid w:val="18FF6773"/>
    <w:rsid w:val="19706CFD"/>
    <w:rsid w:val="1A037B71"/>
    <w:rsid w:val="1A0F29BA"/>
    <w:rsid w:val="1A7A7E33"/>
    <w:rsid w:val="1A8C6430"/>
    <w:rsid w:val="1B586FF5"/>
    <w:rsid w:val="1BB56CAA"/>
    <w:rsid w:val="1BBB6294"/>
    <w:rsid w:val="1C5365B7"/>
    <w:rsid w:val="1D4209B0"/>
    <w:rsid w:val="1DB03826"/>
    <w:rsid w:val="1DE67509"/>
    <w:rsid w:val="1DEA7FEB"/>
    <w:rsid w:val="1E2B2AD3"/>
    <w:rsid w:val="1EAE557A"/>
    <w:rsid w:val="1F730AA4"/>
    <w:rsid w:val="1F7F21C5"/>
    <w:rsid w:val="1FAB7720"/>
    <w:rsid w:val="1FE40061"/>
    <w:rsid w:val="1FE82961"/>
    <w:rsid w:val="21827C72"/>
    <w:rsid w:val="21A47114"/>
    <w:rsid w:val="21B11354"/>
    <w:rsid w:val="220F79FB"/>
    <w:rsid w:val="221F428A"/>
    <w:rsid w:val="22AE046B"/>
    <w:rsid w:val="22E33C5C"/>
    <w:rsid w:val="22FC700C"/>
    <w:rsid w:val="24316771"/>
    <w:rsid w:val="251053AC"/>
    <w:rsid w:val="25463A59"/>
    <w:rsid w:val="25733194"/>
    <w:rsid w:val="25902C01"/>
    <w:rsid w:val="25916DB0"/>
    <w:rsid w:val="25A0694C"/>
    <w:rsid w:val="26025181"/>
    <w:rsid w:val="26375DBA"/>
    <w:rsid w:val="26683472"/>
    <w:rsid w:val="26FFA06C"/>
    <w:rsid w:val="27675BE3"/>
    <w:rsid w:val="27790924"/>
    <w:rsid w:val="27C47FCA"/>
    <w:rsid w:val="283A6E54"/>
    <w:rsid w:val="287C121A"/>
    <w:rsid w:val="289000F2"/>
    <w:rsid w:val="28BC1F5F"/>
    <w:rsid w:val="28C125D9"/>
    <w:rsid w:val="28CB3DE5"/>
    <w:rsid w:val="28F33BD2"/>
    <w:rsid w:val="28FB134B"/>
    <w:rsid w:val="29031AA8"/>
    <w:rsid w:val="29C0782D"/>
    <w:rsid w:val="29F21AAA"/>
    <w:rsid w:val="2A50312B"/>
    <w:rsid w:val="2AB32B56"/>
    <w:rsid w:val="2ACB46DB"/>
    <w:rsid w:val="2B4F051B"/>
    <w:rsid w:val="2C326E8D"/>
    <w:rsid w:val="2C50400B"/>
    <w:rsid w:val="2C871B70"/>
    <w:rsid w:val="2CD23AFF"/>
    <w:rsid w:val="2E370DC3"/>
    <w:rsid w:val="2E4D43E0"/>
    <w:rsid w:val="2F5838B9"/>
    <w:rsid w:val="2FF5459E"/>
    <w:rsid w:val="2FFB2BA8"/>
    <w:rsid w:val="30156CB2"/>
    <w:rsid w:val="30185CCC"/>
    <w:rsid w:val="30235824"/>
    <w:rsid w:val="30326EAB"/>
    <w:rsid w:val="30446AC1"/>
    <w:rsid w:val="306233EC"/>
    <w:rsid w:val="309A01EA"/>
    <w:rsid w:val="30C02D87"/>
    <w:rsid w:val="30D2329B"/>
    <w:rsid w:val="31740FBC"/>
    <w:rsid w:val="318426E7"/>
    <w:rsid w:val="31AF7290"/>
    <w:rsid w:val="31D27DF7"/>
    <w:rsid w:val="324803BF"/>
    <w:rsid w:val="328744B9"/>
    <w:rsid w:val="32A42AF1"/>
    <w:rsid w:val="32C65EB4"/>
    <w:rsid w:val="337978A6"/>
    <w:rsid w:val="33AD15D5"/>
    <w:rsid w:val="33ED56C2"/>
    <w:rsid w:val="34627E5E"/>
    <w:rsid w:val="34B87ADD"/>
    <w:rsid w:val="35332ED9"/>
    <w:rsid w:val="3619646B"/>
    <w:rsid w:val="36280C33"/>
    <w:rsid w:val="36545AE5"/>
    <w:rsid w:val="36625934"/>
    <w:rsid w:val="374D474B"/>
    <w:rsid w:val="374E79D4"/>
    <w:rsid w:val="379A16BD"/>
    <w:rsid w:val="37D51E1A"/>
    <w:rsid w:val="38007A00"/>
    <w:rsid w:val="380B1F2C"/>
    <w:rsid w:val="38153792"/>
    <w:rsid w:val="386A5533"/>
    <w:rsid w:val="38AB639C"/>
    <w:rsid w:val="38EC419A"/>
    <w:rsid w:val="394F2D71"/>
    <w:rsid w:val="39A607ED"/>
    <w:rsid w:val="3A06128C"/>
    <w:rsid w:val="3B356A8D"/>
    <w:rsid w:val="3BCF062B"/>
    <w:rsid w:val="3BDB7236"/>
    <w:rsid w:val="3D0351C4"/>
    <w:rsid w:val="3D485717"/>
    <w:rsid w:val="3D712EC0"/>
    <w:rsid w:val="3DB50FFF"/>
    <w:rsid w:val="3DBB238D"/>
    <w:rsid w:val="3E1F757A"/>
    <w:rsid w:val="3EED1958"/>
    <w:rsid w:val="3EFA04A2"/>
    <w:rsid w:val="3F1C5CDE"/>
    <w:rsid w:val="3F597B5A"/>
    <w:rsid w:val="3F924766"/>
    <w:rsid w:val="3FD31C33"/>
    <w:rsid w:val="3FDF1AD9"/>
    <w:rsid w:val="4012098A"/>
    <w:rsid w:val="40CA6C24"/>
    <w:rsid w:val="40F63E08"/>
    <w:rsid w:val="41C73B79"/>
    <w:rsid w:val="421E2CB3"/>
    <w:rsid w:val="424A09C0"/>
    <w:rsid w:val="4250579A"/>
    <w:rsid w:val="42611755"/>
    <w:rsid w:val="42905431"/>
    <w:rsid w:val="42D43784"/>
    <w:rsid w:val="433C7323"/>
    <w:rsid w:val="437FDD22"/>
    <w:rsid w:val="43CD46A5"/>
    <w:rsid w:val="43DD4E0B"/>
    <w:rsid w:val="43F82B94"/>
    <w:rsid w:val="443D1D4E"/>
    <w:rsid w:val="449B1951"/>
    <w:rsid w:val="44B03976"/>
    <w:rsid w:val="44CC2B6C"/>
    <w:rsid w:val="44EB79FC"/>
    <w:rsid w:val="451156AE"/>
    <w:rsid w:val="452854C4"/>
    <w:rsid w:val="45352A25"/>
    <w:rsid w:val="458824B3"/>
    <w:rsid w:val="459A7D41"/>
    <w:rsid w:val="45E11170"/>
    <w:rsid w:val="461A028F"/>
    <w:rsid w:val="461F0979"/>
    <w:rsid w:val="46565349"/>
    <w:rsid w:val="465D5804"/>
    <w:rsid w:val="470923BB"/>
    <w:rsid w:val="471D463A"/>
    <w:rsid w:val="471F593F"/>
    <w:rsid w:val="476B4898"/>
    <w:rsid w:val="476D3FBE"/>
    <w:rsid w:val="47DE55F6"/>
    <w:rsid w:val="47FB78F3"/>
    <w:rsid w:val="486B42DC"/>
    <w:rsid w:val="48DA2AB5"/>
    <w:rsid w:val="49570A4A"/>
    <w:rsid w:val="49851FB0"/>
    <w:rsid w:val="49AD6BEC"/>
    <w:rsid w:val="49C13A63"/>
    <w:rsid w:val="4A1947CF"/>
    <w:rsid w:val="4A62250E"/>
    <w:rsid w:val="4A636210"/>
    <w:rsid w:val="4A804098"/>
    <w:rsid w:val="4A91694F"/>
    <w:rsid w:val="4AB32D6A"/>
    <w:rsid w:val="4AF524D1"/>
    <w:rsid w:val="4B431238"/>
    <w:rsid w:val="4C20684D"/>
    <w:rsid w:val="4C2509E9"/>
    <w:rsid w:val="4C3F522E"/>
    <w:rsid w:val="4C7778EE"/>
    <w:rsid w:val="4C7C4E9D"/>
    <w:rsid w:val="4C9A32F2"/>
    <w:rsid w:val="4CD445B7"/>
    <w:rsid w:val="4D027691"/>
    <w:rsid w:val="4D2A27C8"/>
    <w:rsid w:val="4D3393DB"/>
    <w:rsid w:val="4D4838B3"/>
    <w:rsid w:val="4D8E3283"/>
    <w:rsid w:val="4DB841F3"/>
    <w:rsid w:val="4E047438"/>
    <w:rsid w:val="4E41068C"/>
    <w:rsid w:val="4E7116BE"/>
    <w:rsid w:val="4E7D7917"/>
    <w:rsid w:val="4E824F2D"/>
    <w:rsid w:val="4E8471A5"/>
    <w:rsid w:val="4EB014AF"/>
    <w:rsid w:val="4EDB4AFB"/>
    <w:rsid w:val="4EE32313"/>
    <w:rsid w:val="4EFB1622"/>
    <w:rsid w:val="4F121247"/>
    <w:rsid w:val="4F477754"/>
    <w:rsid w:val="4F480B02"/>
    <w:rsid w:val="4F4E3061"/>
    <w:rsid w:val="4FB00DC3"/>
    <w:rsid w:val="4FB8497E"/>
    <w:rsid w:val="4FF98E84"/>
    <w:rsid w:val="4FFF25AD"/>
    <w:rsid w:val="50772144"/>
    <w:rsid w:val="50AA7D4B"/>
    <w:rsid w:val="50DE503B"/>
    <w:rsid w:val="51594548"/>
    <w:rsid w:val="516F6B28"/>
    <w:rsid w:val="51F44A10"/>
    <w:rsid w:val="5202191A"/>
    <w:rsid w:val="52085A22"/>
    <w:rsid w:val="521805E7"/>
    <w:rsid w:val="528E1C36"/>
    <w:rsid w:val="52CB56EE"/>
    <w:rsid w:val="53226CDE"/>
    <w:rsid w:val="534C3D5B"/>
    <w:rsid w:val="53B931EA"/>
    <w:rsid w:val="53C2298C"/>
    <w:rsid w:val="53C33E51"/>
    <w:rsid w:val="54435882"/>
    <w:rsid w:val="545C7FCE"/>
    <w:rsid w:val="547005C9"/>
    <w:rsid w:val="548A223D"/>
    <w:rsid w:val="54F621D1"/>
    <w:rsid w:val="55391960"/>
    <w:rsid w:val="554C0043"/>
    <w:rsid w:val="55A23819"/>
    <w:rsid w:val="55A41C2D"/>
    <w:rsid w:val="55BB0D24"/>
    <w:rsid w:val="55D87B28"/>
    <w:rsid w:val="55FA6473"/>
    <w:rsid w:val="56073F6A"/>
    <w:rsid w:val="56326065"/>
    <w:rsid w:val="5661367A"/>
    <w:rsid w:val="567850C0"/>
    <w:rsid w:val="575760FB"/>
    <w:rsid w:val="575D443C"/>
    <w:rsid w:val="57A859DE"/>
    <w:rsid w:val="57B343A9"/>
    <w:rsid w:val="57E00F16"/>
    <w:rsid w:val="581A1E64"/>
    <w:rsid w:val="58D565A1"/>
    <w:rsid w:val="590E1346"/>
    <w:rsid w:val="59746245"/>
    <w:rsid w:val="5A184997"/>
    <w:rsid w:val="5A3B2810"/>
    <w:rsid w:val="5A6E65CB"/>
    <w:rsid w:val="5A7E7705"/>
    <w:rsid w:val="5A9267F7"/>
    <w:rsid w:val="5AAC27D3"/>
    <w:rsid w:val="5ADD353C"/>
    <w:rsid w:val="5B366579"/>
    <w:rsid w:val="5B4619A9"/>
    <w:rsid w:val="5B4FD1C0"/>
    <w:rsid w:val="5B887CE3"/>
    <w:rsid w:val="5BD47E09"/>
    <w:rsid w:val="5C1D6157"/>
    <w:rsid w:val="5CF54B1C"/>
    <w:rsid w:val="5CFE7C5A"/>
    <w:rsid w:val="5DA7106A"/>
    <w:rsid w:val="5DAB167E"/>
    <w:rsid w:val="5DBE6873"/>
    <w:rsid w:val="5DC0696F"/>
    <w:rsid w:val="5DF82331"/>
    <w:rsid w:val="5E5341F0"/>
    <w:rsid w:val="5E851C93"/>
    <w:rsid w:val="5F28567D"/>
    <w:rsid w:val="5F4D50E3"/>
    <w:rsid w:val="5F8356D4"/>
    <w:rsid w:val="5F881F5E"/>
    <w:rsid w:val="5FC1162D"/>
    <w:rsid w:val="5FC66C44"/>
    <w:rsid w:val="5FE163CF"/>
    <w:rsid w:val="60951CDA"/>
    <w:rsid w:val="60A800F7"/>
    <w:rsid w:val="60B46A9C"/>
    <w:rsid w:val="60C90799"/>
    <w:rsid w:val="613B5FAF"/>
    <w:rsid w:val="6223159D"/>
    <w:rsid w:val="62845DE6"/>
    <w:rsid w:val="62BE0525"/>
    <w:rsid w:val="62DF52F7"/>
    <w:rsid w:val="62F029CF"/>
    <w:rsid w:val="63A54DCF"/>
    <w:rsid w:val="63BF59E2"/>
    <w:rsid w:val="63C52EBF"/>
    <w:rsid w:val="63F87992"/>
    <w:rsid w:val="64D67929"/>
    <w:rsid w:val="65133ADC"/>
    <w:rsid w:val="65927070"/>
    <w:rsid w:val="65AC493D"/>
    <w:rsid w:val="65AE61B0"/>
    <w:rsid w:val="662363B3"/>
    <w:rsid w:val="667016B7"/>
    <w:rsid w:val="66A852F5"/>
    <w:rsid w:val="66BD47F1"/>
    <w:rsid w:val="66DC5F15"/>
    <w:rsid w:val="673D196D"/>
    <w:rsid w:val="67A4173C"/>
    <w:rsid w:val="67F7A671"/>
    <w:rsid w:val="67FD6F7B"/>
    <w:rsid w:val="683C5113"/>
    <w:rsid w:val="6851020D"/>
    <w:rsid w:val="68646820"/>
    <w:rsid w:val="68FB5BB0"/>
    <w:rsid w:val="69971A08"/>
    <w:rsid w:val="6A042842"/>
    <w:rsid w:val="6A470044"/>
    <w:rsid w:val="6AAF4C95"/>
    <w:rsid w:val="6ACE2F9A"/>
    <w:rsid w:val="6B0A7783"/>
    <w:rsid w:val="6B367D21"/>
    <w:rsid w:val="6B6FE110"/>
    <w:rsid w:val="6C1369DD"/>
    <w:rsid w:val="6C3867D3"/>
    <w:rsid w:val="6CF45270"/>
    <w:rsid w:val="6CF7043C"/>
    <w:rsid w:val="6D374555"/>
    <w:rsid w:val="6D571067"/>
    <w:rsid w:val="6D83593A"/>
    <w:rsid w:val="6DDE1B02"/>
    <w:rsid w:val="6E027099"/>
    <w:rsid w:val="6E2218B3"/>
    <w:rsid w:val="6E2E1642"/>
    <w:rsid w:val="6E4A0A40"/>
    <w:rsid w:val="6E525D8F"/>
    <w:rsid w:val="6E5A5127"/>
    <w:rsid w:val="6E885C54"/>
    <w:rsid w:val="6EA93A8B"/>
    <w:rsid w:val="6EBC36EB"/>
    <w:rsid w:val="6F1B4CC7"/>
    <w:rsid w:val="6FFE386F"/>
    <w:rsid w:val="6FFF2856"/>
    <w:rsid w:val="706A431E"/>
    <w:rsid w:val="7092523D"/>
    <w:rsid w:val="712A3491"/>
    <w:rsid w:val="714D2D21"/>
    <w:rsid w:val="71A16BBB"/>
    <w:rsid w:val="71E74F23"/>
    <w:rsid w:val="7221445D"/>
    <w:rsid w:val="72B00C0B"/>
    <w:rsid w:val="735D1BF5"/>
    <w:rsid w:val="739C7F8F"/>
    <w:rsid w:val="73BB1F02"/>
    <w:rsid w:val="73DC6F23"/>
    <w:rsid w:val="73FF5BAE"/>
    <w:rsid w:val="74B70FB3"/>
    <w:rsid w:val="74E3302B"/>
    <w:rsid w:val="7503708D"/>
    <w:rsid w:val="751D21C1"/>
    <w:rsid w:val="75530B22"/>
    <w:rsid w:val="75587EE6"/>
    <w:rsid w:val="756B061E"/>
    <w:rsid w:val="764364A0"/>
    <w:rsid w:val="76521E8D"/>
    <w:rsid w:val="76876CD5"/>
    <w:rsid w:val="76F30B63"/>
    <w:rsid w:val="771B1204"/>
    <w:rsid w:val="77786EF1"/>
    <w:rsid w:val="77A15A09"/>
    <w:rsid w:val="77A7F68E"/>
    <w:rsid w:val="78153E6C"/>
    <w:rsid w:val="78196B8C"/>
    <w:rsid w:val="785C7CED"/>
    <w:rsid w:val="786E0780"/>
    <w:rsid w:val="79534C4C"/>
    <w:rsid w:val="79DC545C"/>
    <w:rsid w:val="79E166FC"/>
    <w:rsid w:val="7A7D5483"/>
    <w:rsid w:val="7AE208B6"/>
    <w:rsid w:val="7B6B7826"/>
    <w:rsid w:val="7B8D7B7F"/>
    <w:rsid w:val="7B9547CC"/>
    <w:rsid w:val="7BAF6FA3"/>
    <w:rsid w:val="7BCA1D64"/>
    <w:rsid w:val="7CA26407"/>
    <w:rsid w:val="7CA3413D"/>
    <w:rsid w:val="7CB63765"/>
    <w:rsid w:val="7CBECCF9"/>
    <w:rsid w:val="7CDD3EDD"/>
    <w:rsid w:val="7D277B53"/>
    <w:rsid w:val="7D2E2D12"/>
    <w:rsid w:val="7D983094"/>
    <w:rsid w:val="7DDB3462"/>
    <w:rsid w:val="7DF34C50"/>
    <w:rsid w:val="7DFAA616"/>
    <w:rsid w:val="7DFC1255"/>
    <w:rsid w:val="7E0E55E6"/>
    <w:rsid w:val="7EF127D4"/>
    <w:rsid w:val="7F0D1D41"/>
    <w:rsid w:val="7F351F39"/>
    <w:rsid w:val="7F7B044E"/>
    <w:rsid w:val="7FAE69AA"/>
    <w:rsid w:val="7FBF128D"/>
    <w:rsid w:val="7FD97D73"/>
    <w:rsid w:val="7FF2EE33"/>
    <w:rsid w:val="971B94BD"/>
    <w:rsid w:val="B2FB8B6B"/>
    <w:rsid w:val="B3FE995D"/>
    <w:rsid w:val="B4B53EED"/>
    <w:rsid w:val="BB6EC6BB"/>
    <w:rsid w:val="BDDB5A85"/>
    <w:rsid w:val="C6BFB70B"/>
    <w:rsid w:val="C6C775CE"/>
    <w:rsid w:val="CFEF8257"/>
    <w:rsid w:val="D6BF1551"/>
    <w:rsid w:val="DBAE496E"/>
    <w:rsid w:val="E14F390E"/>
    <w:rsid w:val="E1BD94FE"/>
    <w:rsid w:val="EF1BA115"/>
    <w:rsid w:val="EFFF4439"/>
    <w:rsid w:val="FBFF3F7F"/>
    <w:rsid w:val="FEEFFBF3"/>
    <w:rsid w:val="FF7F8006"/>
    <w:rsid w:val="FFFFA6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34"/>
    <w:qFormat/>
    <w:uiPriority w:val="0"/>
    <w:pPr>
      <w:jc w:val="left"/>
    </w:pPr>
  </w:style>
  <w:style w:type="paragraph" w:styleId="3">
    <w:name w:val="Body Text"/>
    <w:basedOn w:val="1"/>
    <w:next w:val="4"/>
    <w:autoRedefine/>
    <w:qFormat/>
    <w:uiPriority w:val="0"/>
    <w:pPr>
      <w:spacing w:after="120"/>
    </w:pPr>
    <w:rPr>
      <w:rFonts w:ascii="Times New Roman" w:hAnsi="Times New Roman"/>
    </w:rPr>
  </w:style>
  <w:style w:type="paragraph" w:customStyle="1" w:styleId="4">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5">
    <w:name w:val="Body Text Indent"/>
    <w:basedOn w:val="1"/>
    <w:autoRedefine/>
    <w:qFormat/>
    <w:uiPriority w:val="0"/>
    <w:pPr>
      <w:ind w:firstLine="560" w:firstLineChars="200"/>
    </w:pPr>
    <w:rPr>
      <w:rFonts w:ascii="宋体" w:hAnsi="宋体"/>
      <w:sz w:val="28"/>
    </w:rPr>
  </w:style>
  <w:style w:type="paragraph" w:styleId="6">
    <w:name w:val="Plain Text"/>
    <w:basedOn w:val="1"/>
    <w:autoRedefine/>
    <w:unhideWhenUsed/>
    <w:qFormat/>
    <w:uiPriority w:val="99"/>
    <w:rPr>
      <w:rFonts w:ascii="宋体" w:hAnsi="Courier New"/>
    </w:rPr>
  </w:style>
  <w:style w:type="paragraph" w:styleId="7">
    <w:name w:val="Balloon Text"/>
    <w:basedOn w:val="1"/>
    <w:link w:val="36"/>
    <w:autoRedefine/>
    <w:qFormat/>
    <w:uiPriority w:val="0"/>
    <w:rPr>
      <w:sz w:val="18"/>
      <w:szCs w:val="18"/>
    </w:rPr>
  </w:style>
  <w:style w:type="paragraph" w:styleId="8">
    <w:name w:val="footer"/>
    <w:basedOn w:val="1"/>
    <w:link w:val="38"/>
    <w:autoRedefine/>
    <w:qFormat/>
    <w:uiPriority w:val="0"/>
    <w:pPr>
      <w:tabs>
        <w:tab w:val="center" w:pos="4153"/>
        <w:tab w:val="right" w:pos="8306"/>
      </w:tabs>
      <w:snapToGrid w:val="0"/>
      <w:jc w:val="left"/>
    </w:pPr>
    <w:rPr>
      <w:sz w:val="18"/>
      <w:szCs w:val="18"/>
    </w:rPr>
  </w:style>
  <w:style w:type="paragraph" w:styleId="9">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index 9"/>
    <w:basedOn w:val="1"/>
    <w:next w:val="1"/>
    <w:autoRedefine/>
    <w:qFormat/>
    <w:uiPriority w:val="0"/>
    <w:pPr>
      <w:ind w:left="1600" w:leftChars="1600"/>
    </w:pPr>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autoRedefine/>
    <w:qFormat/>
    <w:uiPriority w:val="0"/>
    <w:pPr>
      <w:spacing w:beforeAutospacing="1" w:afterAutospacing="1"/>
      <w:jc w:val="left"/>
    </w:pPr>
    <w:rPr>
      <w:kern w:val="0"/>
      <w:sz w:val="24"/>
    </w:rPr>
  </w:style>
  <w:style w:type="paragraph" w:styleId="13">
    <w:name w:val="annotation subject"/>
    <w:basedOn w:val="2"/>
    <w:next w:val="2"/>
    <w:link w:val="35"/>
    <w:autoRedefine/>
    <w:qFormat/>
    <w:uiPriority w:val="0"/>
    <w:rPr>
      <w:b/>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autoRedefine/>
    <w:qFormat/>
    <w:uiPriority w:val="0"/>
    <w:rPr>
      <w:color w:val="0000FF"/>
      <w:u w:val="single"/>
    </w:rPr>
  </w:style>
  <w:style w:type="character" w:styleId="20">
    <w:name w:val="annotation reference"/>
    <w:basedOn w:val="16"/>
    <w:autoRedefine/>
    <w:qFormat/>
    <w:uiPriority w:val="0"/>
    <w:rPr>
      <w:sz w:val="21"/>
      <w:szCs w:val="21"/>
    </w:rPr>
  </w:style>
  <w:style w:type="character" w:customStyle="1" w:styleId="21">
    <w:name w:val="font41"/>
    <w:basedOn w:val="16"/>
    <w:autoRedefine/>
    <w:qFormat/>
    <w:uiPriority w:val="0"/>
    <w:rPr>
      <w:rFonts w:hint="eastAsia" w:ascii="仿宋_GB2312" w:eastAsia="仿宋_GB2312" w:cs="仿宋_GB2312"/>
      <w:b/>
      <w:color w:val="000000"/>
      <w:sz w:val="28"/>
      <w:szCs w:val="28"/>
      <w:u w:val="none"/>
    </w:rPr>
  </w:style>
  <w:style w:type="character" w:customStyle="1" w:styleId="22">
    <w:name w:val="font91"/>
    <w:basedOn w:val="16"/>
    <w:autoRedefine/>
    <w:qFormat/>
    <w:uiPriority w:val="0"/>
    <w:rPr>
      <w:rFonts w:hint="eastAsia" w:ascii="仿宋_GB2312" w:eastAsia="仿宋_GB2312" w:cs="仿宋_GB2312"/>
      <w:color w:val="000000"/>
      <w:sz w:val="28"/>
      <w:szCs w:val="28"/>
      <w:u w:val="none"/>
    </w:rPr>
  </w:style>
  <w:style w:type="character" w:customStyle="1" w:styleId="23">
    <w:name w:val="font81"/>
    <w:basedOn w:val="16"/>
    <w:autoRedefine/>
    <w:qFormat/>
    <w:uiPriority w:val="0"/>
    <w:rPr>
      <w:rFonts w:hint="eastAsia" w:ascii="仿宋_GB2312" w:eastAsia="仿宋_GB2312" w:cs="仿宋_GB2312"/>
      <w:color w:val="000000"/>
      <w:sz w:val="28"/>
      <w:szCs w:val="28"/>
      <w:u w:val="none"/>
    </w:rPr>
  </w:style>
  <w:style w:type="character" w:customStyle="1" w:styleId="24">
    <w:name w:val="font101"/>
    <w:basedOn w:val="16"/>
    <w:qFormat/>
    <w:uiPriority w:val="0"/>
    <w:rPr>
      <w:rFonts w:hint="eastAsia" w:ascii="宋体" w:hAnsi="宋体" w:eastAsia="宋体" w:cs="宋体"/>
      <w:color w:val="000000"/>
      <w:sz w:val="28"/>
      <w:szCs w:val="28"/>
      <w:u w:val="none"/>
    </w:rPr>
  </w:style>
  <w:style w:type="character" w:customStyle="1" w:styleId="25">
    <w:name w:val="font112"/>
    <w:basedOn w:val="16"/>
    <w:autoRedefine/>
    <w:qFormat/>
    <w:uiPriority w:val="0"/>
    <w:rPr>
      <w:rFonts w:ascii="Tahoma" w:hAnsi="Tahoma" w:eastAsia="Tahoma" w:cs="Tahoma"/>
      <w:color w:val="000000"/>
      <w:sz w:val="28"/>
      <w:szCs w:val="28"/>
      <w:u w:val="none"/>
    </w:rPr>
  </w:style>
  <w:style w:type="character" w:customStyle="1" w:styleId="26">
    <w:name w:val="font11"/>
    <w:basedOn w:val="16"/>
    <w:autoRedefine/>
    <w:qFormat/>
    <w:uiPriority w:val="0"/>
    <w:rPr>
      <w:rFonts w:hint="eastAsia" w:ascii="仿宋_GB2312" w:eastAsia="仿宋_GB2312" w:cs="仿宋_GB2312"/>
      <w:color w:val="000000"/>
      <w:sz w:val="28"/>
      <w:szCs w:val="28"/>
      <w:u w:val="none"/>
      <w:vertAlign w:val="subscript"/>
    </w:rPr>
  </w:style>
  <w:style w:type="character" w:customStyle="1" w:styleId="27">
    <w:name w:val="font61"/>
    <w:basedOn w:val="16"/>
    <w:autoRedefine/>
    <w:qFormat/>
    <w:uiPriority w:val="0"/>
    <w:rPr>
      <w:rFonts w:hint="eastAsia" w:ascii="仿宋_GB2312" w:eastAsia="仿宋_GB2312" w:cs="仿宋_GB2312"/>
      <w:b/>
      <w:color w:val="000000"/>
      <w:sz w:val="28"/>
      <w:szCs w:val="28"/>
      <w:u w:val="none"/>
    </w:rPr>
  </w:style>
  <w:style w:type="character" w:customStyle="1" w:styleId="28">
    <w:name w:val="font71"/>
    <w:basedOn w:val="16"/>
    <w:autoRedefine/>
    <w:qFormat/>
    <w:uiPriority w:val="0"/>
    <w:rPr>
      <w:rFonts w:hint="eastAsia" w:ascii="仿宋_GB2312" w:eastAsia="仿宋_GB2312" w:cs="仿宋_GB2312"/>
      <w:color w:val="000000"/>
      <w:sz w:val="28"/>
      <w:szCs w:val="28"/>
      <w:u w:val="none"/>
    </w:rPr>
  </w:style>
  <w:style w:type="character" w:customStyle="1" w:styleId="29">
    <w:name w:val="font31"/>
    <w:basedOn w:val="16"/>
    <w:qFormat/>
    <w:uiPriority w:val="0"/>
    <w:rPr>
      <w:rFonts w:hint="default" w:ascii="DejaVu Sans" w:hAnsi="DejaVu Sans" w:eastAsia="DejaVu Sans" w:cs="DejaVu Sans"/>
      <w:color w:val="000000"/>
      <w:sz w:val="28"/>
      <w:szCs w:val="28"/>
      <w:u w:val="none"/>
    </w:rPr>
  </w:style>
  <w:style w:type="character" w:customStyle="1" w:styleId="30">
    <w:name w:val="font01"/>
    <w:basedOn w:val="16"/>
    <w:autoRedefine/>
    <w:qFormat/>
    <w:uiPriority w:val="0"/>
    <w:rPr>
      <w:rFonts w:hint="eastAsia" w:ascii="仿宋_GB2312" w:eastAsia="仿宋_GB2312" w:cs="仿宋_GB2312"/>
      <w:color w:val="000000"/>
      <w:sz w:val="28"/>
      <w:szCs w:val="28"/>
      <w:u w:val="none"/>
      <w:vertAlign w:val="superscript"/>
    </w:rPr>
  </w:style>
  <w:style w:type="character" w:customStyle="1" w:styleId="31">
    <w:name w:val="font21"/>
    <w:basedOn w:val="16"/>
    <w:autoRedefine/>
    <w:qFormat/>
    <w:uiPriority w:val="0"/>
    <w:rPr>
      <w:rFonts w:hint="eastAsia" w:ascii="仿宋_GB2312" w:eastAsia="仿宋_GB2312" w:cs="仿宋_GB2312"/>
      <w:color w:val="000000"/>
      <w:sz w:val="28"/>
      <w:szCs w:val="28"/>
      <w:u w:val="none"/>
    </w:rPr>
  </w:style>
  <w:style w:type="paragraph" w:styleId="32">
    <w:name w:val="List Paragraph"/>
    <w:basedOn w:val="1"/>
    <w:qFormat/>
    <w:uiPriority w:val="34"/>
    <w:pPr>
      <w:ind w:firstLine="420" w:firstLineChars="200"/>
    </w:pPr>
  </w:style>
  <w:style w:type="paragraph" w:customStyle="1" w:styleId="33">
    <w:name w:val="_Style 4"/>
    <w:basedOn w:val="1"/>
    <w:qFormat/>
    <w:uiPriority w:val="0"/>
    <w:pPr>
      <w:tabs>
        <w:tab w:val="left" w:pos="432"/>
      </w:tabs>
      <w:spacing w:line="400" w:lineRule="exact"/>
      <w:ind w:left="432" w:hanging="432"/>
    </w:pPr>
    <w:rPr>
      <w:rFonts w:ascii="Times New Roman" w:hAnsi="Times New Roman" w:eastAsia="仿宋_GB2312"/>
      <w:spacing w:val="-6"/>
      <w:sz w:val="32"/>
      <w:szCs w:val="20"/>
    </w:rPr>
  </w:style>
  <w:style w:type="character" w:customStyle="1" w:styleId="34">
    <w:name w:val="批注文字 字符"/>
    <w:basedOn w:val="16"/>
    <w:link w:val="2"/>
    <w:qFormat/>
    <w:uiPriority w:val="0"/>
    <w:rPr>
      <w:kern w:val="2"/>
      <w:sz w:val="21"/>
      <w:szCs w:val="22"/>
    </w:rPr>
  </w:style>
  <w:style w:type="character" w:customStyle="1" w:styleId="35">
    <w:name w:val="批注主题 字符"/>
    <w:basedOn w:val="34"/>
    <w:link w:val="13"/>
    <w:qFormat/>
    <w:uiPriority w:val="0"/>
    <w:rPr>
      <w:b/>
      <w:bCs/>
      <w:kern w:val="2"/>
      <w:sz w:val="21"/>
      <w:szCs w:val="22"/>
    </w:rPr>
  </w:style>
  <w:style w:type="character" w:customStyle="1" w:styleId="36">
    <w:name w:val="批注框文本 字符"/>
    <w:basedOn w:val="16"/>
    <w:link w:val="7"/>
    <w:autoRedefine/>
    <w:qFormat/>
    <w:uiPriority w:val="0"/>
    <w:rPr>
      <w:kern w:val="2"/>
      <w:sz w:val="18"/>
      <w:szCs w:val="18"/>
    </w:rPr>
  </w:style>
  <w:style w:type="character" w:customStyle="1" w:styleId="37">
    <w:name w:val="页眉 字符"/>
    <w:basedOn w:val="16"/>
    <w:link w:val="9"/>
    <w:qFormat/>
    <w:uiPriority w:val="0"/>
    <w:rPr>
      <w:kern w:val="2"/>
      <w:sz w:val="18"/>
      <w:szCs w:val="18"/>
    </w:rPr>
  </w:style>
  <w:style w:type="character" w:customStyle="1" w:styleId="38">
    <w:name w:val="页脚 字符"/>
    <w:basedOn w:val="16"/>
    <w:link w:val="8"/>
    <w:qFormat/>
    <w:uiPriority w:val="0"/>
    <w:rPr>
      <w:kern w:val="2"/>
      <w:sz w:val="18"/>
      <w:szCs w:val="18"/>
    </w:rPr>
  </w:style>
  <w:style w:type="paragraph" w:customStyle="1" w:styleId="39">
    <w:name w:val="列出段落1"/>
    <w:basedOn w:val="1"/>
    <w:autoRedefine/>
    <w:qFormat/>
    <w:uiPriority w:val="34"/>
    <w:pPr>
      <w:ind w:firstLine="420" w:firstLineChars="200"/>
    </w:pPr>
    <w:rPr>
      <w:rFonts w:ascii="Times New Roman" w:hAnsi="Times New Roman" w:eastAsia="仿宋_GB2312"/>
      <w:sz w:val="32"/>
    </w:rPr>
  </w:style>
  <w:style w:type="paragraph" w:customStyle="1" w:styleId="40">
    <w:name w:val="样式1"/>
    <w:basedOn w:val="1"/>
    <w:qFormat/>
    <w:uiPriority w:val="0"/>
    <w:pPr>
      <w:adjustRightInd w:val="0"/>
      <w:snapToGrid w:val="0"/>
      <w:spacing w:beforeLines="50"/>
      <w:jc w:val="left"/>
    </w:pPr>
    <w:rPr>
      <w:rFonts w:ascii="宋体" w:hAnsi="宋体"/>
      <w:snapToGrid w:val="0"/>
      <w:kern w:val="0"/>
      <w:szCs w:val="30"/>
    </w:rPr>
  </w:style>
  <w:style w:type="paragraph" w:customStyle="1" w:styleId="41">
    <w:name w:val="Revision"/>
    <w:autoRedefine/>
    <w:hidden/>
    <w:unhideWhenUsed/>
    <w:qFormat/>
    <w:uiPriority w:val="99"/>
    <w:rPr>
      <w:rFonts w:ascii="Calibri" w:hAnsi="Calibri" w:eastAsia="宋体" w:cs="Times New Roman"/>
      <w:kern w:val="2"/>
      <w:sz w:val="21"/>
      <w:szCs w:val="22"/>
      <w:lang w:val="en-US" w:eastAsia="zh-CN" w:bidi="ar-SA"/>
    </w:rPr>
  </w:style>
  <w:style w:type="character" w:customStyle="1" w:styleId="42">
    <w:name w:val="font51"/>
    <w:basedOn w:val="16"/>
    <w:autoRedefine/>
    <w:qFormat/>
    <w:uiPriority w:val="0"/>
    <w:rPr>
      <w:rFonts w:hint="eastAsia" w:ascii="微软雅黑" w:hAnsi="微软雅黑" w:eastAsia="微软雅黑" w:cs="微软雅黑"/>
      <w:color w:val="000000"/>
      <w:sz w:val="20"/>
      <w:szCs w:val="20"/>
      <w:u w:val="none"/>
    </w:rPr>
  </w:style>
  <w:style w:type="character" w:customStyle="1" w:styleId="43">
    <w:name w:val="17"/>
    <w:basedOn w:val="16"/>
    <w:autoRedefine/>
    <w:qFormat/>
    <w:uiPriority w:val="0"/>
    <w:rPr>
      <w:rFonts w:hint="default" w:ascii="Times New Roman" w:hAnsi="Times New Roman" w:cs="Times New Roman"/>
      <w:color w:val="0000FF"/>
      <w:u w:val="single"/>
    </w:rPr>
  </w:style>
  <w:style w:type="character" w:customStyle="1" w:styleId="44">
    <w:name w:val="16"/>
    <w:basedOn w:val="16"/>
    <w:autoRedefine/>
    <w:qFormat/>
    <w:uiPriority w:val="0"/>
    <w:rPr>
      <w:rFonts w:hint="eastAsia" w:ascii="微软雅黑" w:hAnsi="微软雅黑" w:eastAsia="微软雅黑" w:cs="微软雅黑"/>
      <w:b/>
      <w:bCs/>
      <w:color w:val="000000"/>
      <w:sz w:val="20"/>
      <w:szCs w:val="20"/>
    </w:rPr>
  </w:style>
  <w:style w:type="character" w:customStyle="1" w:styleId="45">
    <w:name w:val="10"/>
    <w:basedOn w:val="16"/>
    <w:autoRedefine/>
    <w:qFormat/>
    <w:uiPriority w:val="0"/>
    <w:rPr>
      <w:rFonts w:hint="default" w:ascii="Times New Roman" w:hAnsi="Times New Roman" w:cs="Times New Roman"/>
    </w:rPr>
  </w:style>
  <w:style w:type="character" w:customStyle="1" w:styleId="46">
    <w:name w:val="15"/>
    <w:basedOn w:val="16"/>
    <w:autoRedefine/>
    <w:qFormat/>
    <w:uiPriority w:val="0"/>
    <w:rPr>
      <w:rFonts w:hint="eastAsia" w:ascii="微软雅黑" w:hAnsi="微软雅黑" w:eastAsia="微软雅黑" w:cs="微软雅黑"/>
      <w:color w:val="000000"/>
      <w:sz w:val="20"/>
      <w:szCs w:val="20"/>
    </w:rPr>
  </w:style>
  <w:style w:type="paragraph" w:customStyle="1" w:styleId="47">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6771</Words>
  <Characters>7149</Characters>
  <Lines>202</Lines>
  <Paragraphs>57</Paragraphs>
  <TotalTime>1</TotalTime>
  <ScaleCrop>false</ScaleCrop>
  <LinksUpToDate>false</LinksUpToDate>
  <CharactersWithSpaces>7152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d</dc:creator>
  <cp:lastModifiedBy>和力</cp:lastModifiedBy>
  <cp:lastPrinted>2023-09-28T17:33:00Z</cp:lastPrinted>
  <dcterms:modified xsi:type="dcterms:W3CDTF">2026-05-29T17:31:53Z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9DD910FF81F68265095D196AF21D15C3_43</vt:lpwstr>
  </property>
  <property fmtid="{D5CDD505-2E9C-101B-9397-08002B2CF9AE}" pid="4" name="KSOTemplateDocerSaveRecord">
    <vt:lpwstr>eyJoZGlkIjoiZTQ2OTIzMjllZTM4YmE5YTc0ZDRhMWI3NTAyOWZkMTMiLCJ1c2VySWQiOiIxNTg3NzQxMDkwIn0=</vt:lpwstr>
  </property>
</Properties>
</file>