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706AF">
      <w:pPr>
        <w:widowControl/>
        <w:spacing w:line="560" w:lineRule="exac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附件1</w:t>
      </w:r>
    </w:p>
    <w:p w14:paraId="31E742CD">
      <w:pPr>
        <w:widowControl/>
        <w:spacing w:line="640" w:lineRule="exact"/>
        <w:jc w:val="center"/>
        <w:rPr>
          <w:rFonts w:hint="eastAsia" w:ascii="方正小标宋简体" w:hAnsi="宋体" w:eastAsia="方正小标宋简体" w:cs="宋体"/>
          <w:color w:val="000000"/>
          <w:kern w:val="0"/>
          <w:sz w:val="44"/>
          <w:szCs w:val="44"/>
        </w:rPr>
      </w:pPr>
    </w:p>
    <w:p w14:paraId="5A2D0C2D">
      <w:pPr>
        <w:widowControl/>
        <w:spacing w:line="600" w:lineRule="exact"/>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北京市第五批清理规范行政许可等</w:t>
      </w:r>
    </w:p>
    <w:p w14:paraId="235FC9C3">
      <w:pPr>
        <w:widowControl/>
        <w:spacing w:line="600" w:lineRule="exact"/>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中介服务事项目录</w:t>
      </w:r>
    </w:p>
    <w:p w14:paraId="08A3124D">
      <w:pPr>
        <w:widowControl/>
        <w:spacing w:line="600" w:lineRule="exact"/>
        <w:jc w:val="center"/>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(共计39项)</w:t>
      </w:r>
    </w:p>
    <w:p w14:paraId="6C15F871">
      <w:pPr>
        <w:widowControl/>
        <w:spacing w:line="560" w:lineRule="exact"/>
        <w:jc w:val="center"/>
        <w:rPr>
          <w:rFonts w:hint="eastAsia" w:ascii="楷体_GB2312" w:hAnsi="楷体_GB2312" w:eastAsia="楷体_GB2312" w:cs="楷体_GB2312"/>
          <w:color w:val="000000"/>
          <w:kern w:val="0"/>
          <w:sz w:val="32"/>
          <w:szCs w:val="32"/>
        </w:rPr>
      </w:pPr>
    </w:p>
    <w:tbl>
      <w:tblPr>
        <w:tblStyle w:val="2"/>
        <w:tblW w:w="8809" w:type="dxa"/>
        <w:jc w:val="center"/>
        <w:tblLayout w:type="fixed"/>
        <w:tblCellMar>
          <w:top w:w="0" w:type="dxa"/>
          <w:left w:w="0" w:type="dxa"/>
          <w:bottom w:w="0" w:type="dxa"/>
          <w:right w:w="0" w:type="dxa"/>
        </w:tblCellMar>
      </w:tblPr>
      <w:tblGrid>
        <w:gridCol w:w="501"/>
        <w:gridCol w:w="1276"/>
        <w:gridCol w:w="1559"/>
        <w:gridCol w:w="567"/>
        <w:gridCol w:w="567"/>
        <w:gridCol w:w="1134"/>
        <w:gridCol w:w="3205"/>
      </w:tblGrid>
      <w:tr w14:paraId="036D83CA">
        <w:tblPrEx>
          <w:tblCellMar>
            <w:top w:w="0" w:type="dxa"/>
            <w:left w:w="0" w:type="dxa"/>
            <w:bottom w:w="0" w:type="dxa"/>
            <w:right w:w="0" w:type="dxa"/>
          </w:tblCellMar>
        </w:tblPrEx>
        <w:trPr>
          <w:cantSplit/>
          <w:trHeight w:val="625" w:hRule="atLeast"/>
          <w:tblHeader/>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AD4EBBF">
            <w:pPr>
              <w:widowControl/>
              <w:spacing w:line="280" w:lineRule="exact"/>
              <w:jc w:val="center"/>
              <w:textAlignment w:val="center"/>
              <w:rPr>
                <w:rFonts w:ascii="仿宋_GB2312" w:hAnsi="仿宋_GB2312" w:eastAsia="仿宋_GB2312" w:cs="仿宋_GB2312"/>
                <w:color w:val="000000"/>
                <w:sz w:val="24"/>
                <w:szCs w:val="24"/>
              </w:rPr>
            </w:pPr>
            <w:r>
              <w:rPr>
                <w:rFonts w:hint="eastAsia" w:ascii="黑体" w:hAnsi="黑体" w:eastAsia="黑体" w:cs="黑体"/>
                <w:color w:val="000000"/>
                <w:kern w:val="0"/>
                <w:sz w:val="24"/>
                <w:szCs w:val="24"/>
                <w:lang w:bidi="ar"/>
              </w:rPr>
              <w:t>序号</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21D01C2">
            <w:pPr>
              <w:widowControl/>
              <w:spacing w:line="28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中介服务</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事项名称</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DF6B9FC">
            <w:pPr>
              <w:widowControl/>
              <w:spacing w:line="28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涉及的政务服务事项名称</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F54F901">
            <w:pPr>
              <w:widowControl/>
              <w:spacing w:line="28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事项类型</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666A631">
            <w:pPr>
              <w:widowControl/>
              <w:spacing w:line="28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办理部门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7353A06">
            <w:pPr>
              <w:widowControl/>
              <w:spacing w:line="28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中介服务</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实施机构</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F7C7FDB">
            <w:pPr>
              <w:widowControl/>
              <w:spacing w:line="28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处理意见</w:t>
            </w:r>
          </w:p>
        </w:tc>
      </w:tr>
      <w:tr w14:paraId="27EFAB7D">
        <w:tblPrEx>
          <w:tblCellMar>
            <w:top w:w="0" w:type="dxa"/>
            <w:left w:w="0" w:type="dxa"/>
            <w:bottom w:w="0" w:type="dxa"/>
            <w:right w:w="0" w:type="dxa"/>
          </w:tblCellMar>
        </w:tblPrEx>
        <w:trPr>
          <w:cantSpli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52C0806">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C1D1623">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出具高新技术成果转化项目专项审计报告</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2DBBB84">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高新技术成果转化项目认定</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7AADCD4">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其他行政权力</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D185ABB">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科学技术部门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47C7EB3">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会计师事务所</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509210D">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不再要求申请人提供审计报告，改由请申请人提供自行编制财务管理情况报告，建立投诉举报机制，严厉查处材料弄虚作假等违规行为，加强事中事后监管</w:t>
            </w:r>
          </w:p>
        </w:tc>
      </w:tr>
      <w:tr w14:paraId="0B357B25">
        <w:tblPrEx>
          <w:tblCellMar>
            <w:top w:w="0" w:type="dxa"/>
            <w:left w:w="0" w:type="dxa"/>
            <w:bottom w:w="0" w:type="dxa"/>
            <w:right w:w="0" w:type="dxa"/>
          </w:tblCellMar>
        </w:tblPrEx>
        <w:trPr>
          <w:cantSpli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026B9D5">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C53F097">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出具企业近三年各年度的财务审计报告</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1522AE9">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高新技术成果转化项目认定</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A3BE763">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其他行政权力</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22C1E28">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科学技术部门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B729D95">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会计师事务所</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01129BC">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不再要求申请人提供审计报告，改由请申请人提供自行编制财务管理情况报告，建立投诉举报机制，严厉查处材料弄虚作假等违规行为，加强事中事后监管</w:t>
            </w:r>
          </w:p>
        </w:tc>
      </w:tr>
      <w:tr w14:paraId="78823205">
        <w:tblPrEx>
          <w:tblCellMar>
            <w:top w:w="0" w:type="dxa"/>
            <w:left w:w="0" w:type="dxa"/>
            <w:bottom w:w="0" w:type="dxa"/>
            <w:right w:w="0" w:type="dxa"/>
          </w:tblCellMar>
        </w:tblPrEx>
        <w:trPr>
          <w:cantSpli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711E80B">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D27FD7A">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出具经鉴证的企业上一会计年度财务会计报告</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633AEBB">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技术先进型服务企业认定</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8401930">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其他行政权力</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AE3B255">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科学技术部门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5BCA1BF">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会计师事务所</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BB12090">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不再要求申请人提供审计报告，改由请申请人提供自行编制财务管理情况报告，建立投诉举报机制，严厉查处材料弄虚作假等违规行为，加强事中事后监管</w:t>
            </w:r>
          </w:p>
        </w:tc>
      </w:tr>
      <w:tr w14:paraId="5618B9DE">
        <w:tblPrEx>
          <w:tblCellMar>
            <w:top w:w="0" w:type="dxa"/>
            <w:left w:w="0" w:type="dxa"/>
            <w:bottom w:w="0" w:type="dxa"/>
            <w:right w:w="0" w:type="dxa"/>
          </w:tblCellMar>
        </w:tblPrEx>
        <w:trPr>
          <w:cantSpli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FC1931D">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64A2F4A">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出具近三个会计年度财务审计报告</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1E7711B">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北京市企业科技研究开发机构认定</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3DE60FD">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其他行政权力</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4ACA3E7">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科学技术部门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CCB4C05">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会计师事务所</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6526888">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不再要求申请人提供审计报告，改由请申请人提供自行编制财务管理情况报告，建立投诉举报机制，严厉查处材料弄虚作假等违规行为，加强事中事后监管</w:t>
            </w:r>
          </w:p>
        </w:tc>
      </w:tr>
      <w:tr w14:paraId="0A1EB473">
        <w:tblPrEx>
          <w:tblCellMar>
            <w:top w:w="0" w:type="dxa"/>
            <w:left w:w="0" w:type="dxa"/>
            <w:bottom w:w="0" w:type="dxa"/>
            <w:right w:w="0" w:type="dxa"/>
          </w:tblCellMar>
        </w:tblPrEx>
        <w:trPr>
          <w:cantSpli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D87AF05">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59799BE">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出具近三年研究开发经费专项审计报告</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F43E577">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北京市企业科技研究开发机构认定</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AEE1B29">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其他行政权力</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5AF361E">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科学技术部门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5300627">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会计师事务所</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2282A3C">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不再要求申请人提供审计报告，改由请申请人提供自行编制财务管理情况报告，建立投诉举报机制，严厉查处材料弄虚作假等违规行为，加强事中事后监管</w:t>
            </w:r>
          </w:p>
        </w:tc>
      </w:tr>
      <w:tr w14:paraId="49146F9D">
        <w:tblPrEx>
          <w:tblCellMar>
            <w:top w:w="0" w:type="dxa"/>
            <w:left w:w="0" w:type="dxa"/>
            <w:bottom w:w="0" w:type="dxa"/>
            <w:right w:w="0" w:type="dxa"/>
          </w:tblCellMar>
        </w:tblPrEx>
        <w:trPr>
          <w:cantSplit/>
          <w:trHeight w:val="1888" w:hRule="atLeas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57C65FB">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DE86CEC">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出具上一年度技术性收入专项审计报告</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E270F30">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北京市企业科技研究开发机构认定</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D1733DB">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其他行政权力</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1D8BDFF">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科学技术部门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4FC0A1D">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会计师事务所</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F243C78">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不再要求申请人提供审计报告，改由请申请人提供自行编制财务管理情况报告，建立投诉举报机制，严厉查处材料弄虚作假等违规行为，加强事中事后监管</w:t>
            </w:r>
          </w:p>
        </w:tc>
      </w:tr>
      <w:tr w14:paraId="0087F520">
        <w:tblPrEx>
          <w:tblCellMar>
            <w:top w:w="0" w:type="dxa"/>
            <w:left w:w="0" w:type="dxa"/>
            <w:bottom w:w="0" w:type="dxa"/>
            <w:right w:w="0" w:type="dxa"/>
          </w:tblCellMar>
        </w:tblPrEx>
        <w:trPr>
          <w:cantSplit/>
          <w:trHeight w:val="1971" w:hRule="atLeas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AA11AE1">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576C246">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提供经会计师事务所出具的审计报告</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A26AA1D">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省级科技类民办非企业单位进口科教用品免税资格审核</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B3B66FE">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其他行政权力</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A5F0FC6">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科学技术部门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3E8F1F9">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会计师事务所</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B3F853C">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不再要求申请人提供审计报告，改由请申请人提供自行编制财务管理情况报告，建立投诉举报机制，严厉查处材料弄虚作假等违规行为，加强事中事后监管</w:t>
            </w:r>
          </w:p>
        </w:tc>
      </w:tr>
      <w:tr w14:paraId="4FAB7C77">
        <w:tblPrEx>
          <w:tblCellMar>
            <w:top w:w="0" w:type="dxa"/>
            <w:left w:w="0" w:type="dxa"/>
            <w:bottom w:w="0" w:type="dxa"/>
            <w:right w:w="0" w:type="dxa"/>
          </w:tblCellMar>
        </w:tblPrEx>
        <w:trPr>
          <w:cantSplit/>
          <w:trHeight w:val="1390" w:hRule="atLeas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B6B0944">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BB6F0EB">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出具审计报告</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529D593">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北京市企业技术中心建设评价</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16B9E41">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行政确认</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1573E6C">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经济和信息化部门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45EE998">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会计师事务所</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0088043">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不再要求申请人出具审计报告。改由申请单位承诺，审批部门委托第三方对申请材料进行初评核验</w:t>
            </w:r>
          </w:p>
        </w:tc>
      </w:tr>
      <w:tr w14:paraId="174D3C1D">
        <w:tblPrEx>
          <w:tblCellMar>
            <w:top w:w="0" w:type="dxa"/>
            <w:left w:w="0" w:type="dxa"/>
            <w:bottom w:w="0" w:type="dxa"/>
            <w:right w:w="0" w:type="dxa"/>
          </w:tblCellMar>
        </w:tblPrEx>
        <w:trPr>
          <w:cantSplit/>
          <w:trHeight w:val="1830" w:hRule="atLeas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3D5514E">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4FEE9BA">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出具近期体检表</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1503891">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失业人员新建档案服务</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9A15142">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公共服务</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ACF3B9D">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人力资源和社会保障部门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0501471">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指定医院</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8FAE2CE">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不再要求失业人员出具近期体检表，根据《干部档案工作条例》和《企业职工档案管理工作规定》，事项办理过程中不再提交体检表</w:t>
            </w:r>
          </w:p>
        </w:tc>
      </w:tr>
      <w:tr w14:paraId="1786D274">
        <w:tblPrEx>
          <w:tblCellMar>
            <w:top w:w="0" w:type="dxa"/>
            <w:left w:w="0" w:type="dxa"/>
            <w:bottom w:w="0" w:type="dxa"/>
            <w:right w:w="0" w:type="dxa"/>
          </w:tblCellMar>
        </w:tblPrEx>
        <w:trPr>
          <w:cantSplit/>
          <w:trHeight w:val="1678" w:hRule="atLeas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257A03C">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7CE9D63">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建设用地勘测定界技术报告书及勘测定界图编制</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E9D6641">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征收集体所有土地批准</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3E572D5">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C54146C">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规划和自然资源部门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90F247C">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具有相应资质的机构</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9E534B7">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pacing w:val="-11"/>
                <w:kern w:val="0"/>
                <w:sz w:val="24"/>
                <w:szCs w:val="24"/>
                <w:lang w:bidi="ar"/>
              </w:rPr>
              <w:t>该事项对应的行政审批事项已转为政府内部事项，不再面向社会办理</w:t>
            </w:r>
          </w:p>
        </w:tc>
      </w:tr>
      <w:tr w14:paraId="2212005A">
        <w:tblPrEx>
          <w:tblCellMar>
            <w:top w:w="0" w:type="dxa"/>
            <w:left w:w="0" w:type="dxa"/>
            <w:bottom w:w="0" w:type="dxa"/>
            <w:right w:w="0" w:type="dxa"/>
          </w:tblCellMar>
        </w:tblPrEx>
        <w:trPr>
          <w:cantSplit/>
          <w:trHeight w:val="1524" w:hRule="atLeas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6007A9B">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11</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002483B">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建设用地勘测定界技术报告书及勘测定界图编制</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043C94D">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农用地转为建设用地批准</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273368E">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9CC6D88">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规划和自然资源部门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81A544F">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具有相应资质的机构</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82940A9">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pacing w:val="-11"/>
                <w:kern w:val="0"/>
                <w:sz w:val="24"/>
                <w:szCs w:val="24"/>
                <w:lang w:bidi="ar"/>
              </w:rPr>
              <w:t>该事项对应的行政审批事项已转为政府内部事项，不再面向社会办理</w:t>
            </w:r>
          </w:p>
        </w:tc>
      </w:tr>
      <w:tr w14:paraId="06AA94BB">
        <w:tblPrEx>
          <w:tblCellMar>
            <w:top w:w="0" w:type="dxa"/>
            <w:left w:w="0" w:type="dxa"/>
            <w:bottom w:w="0" w:type="dxa"/>
            <w:right w:w="0" w:type="dxa"/>
          </w:tblCellMar>
        </w:tblPrEx>
        <w:trPr>
          <w:cantSplit/>
          <w:trHeight w:val="1545" w:hRule="atLeas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A265FC3">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12</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9865B4D">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房地产估价机构资质证书作废声明</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B343FAF">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房地产估价机构备案</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CCADE8C">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A77DC55">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住房和城乡建设部门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7207C7F">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公众媒体</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403BB0C">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不再要求申请人在公众媒体上发布房地产估价机构备案所需的房地产估价机构资质证书作废声明，改由申请人告知审批部门，审批部门在其官网发布</w:t>
            </w:r>
          </w:p>
        </w:tc>
      </w:tr>
      <w:tr w14:paraId="585353EE">
        <w:tblPrEx>
          <w:tblCellMar>
            <w:top w:w="0" w:type="dxa"/>
            <w:left w:w="0" w:type="dxa"/>
            <w:bottom w:w="0" w:type="dxa"/>
            <w:right w:w="0" w:type="dxa"/>
          </w:tblCellMar>
        </w:tblPrEx>
        <w:trPr>
          <w:cantSpli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5931401">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9B30997">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房地产开发企业一级资质证书作废声明</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50A85F3">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房地产开发企业一级资质核定初审</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AB822B9">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7BAB941">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住房和城乡建设部门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FAA8DA3">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新闻媒体</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56F9658">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不再要求申请人在公众媒体上发布房地产开发企业一级资质变更初审所需房地产开发企业一级资质证书作废申明，改由申请人向审批部门作出书面承诺，审批部门开展事中事后监管</w:t>
            </w:r>
          </w:p>
        </w:tc>
      </w:tr>
      <w:tr w14:paraId="312A457A">
        <w:tblPrEx>
          <w:tblCellMar>
            <w:top w:w="0" w:type="dxa"/>
            <w:left w:w="0" w:type="dxa"/>
            <w:bottom w:w="0" w:type="dxa"/>
            <w:right w:w="0" w:type="dxa"/>
          </w:tblCellMar>
        </w:tblPrEx>
        <w:trPr>
          <w:cantSplit/>
          <w:trHeight w:val="2028" w:hRule="atLeas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6BECD06">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14</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3592741">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编制鉴定报告</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FCAB540">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商品住宅专项维修资金使用审核（资金划转业主大会之前）</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208C57E">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行政确认</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631E735">
            <w:pPr>
              <w:widowControl/>
              <w:spacing w:line="28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住房和城乡建设部门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71355E8">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专业检测鉴定、造价咨询机构</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9CAA36F">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不再要求出具维修鉴定报告，改由审批部门依据《北京市物业管理条例》的相关规定，通过抽检核查、定期报告等方式，加强对本市住宅专项维修资金的筹集、管理和使用的指导和监督</w:t>
            </w:r>
          </w:p>
        </w:tc>
      </w:tr>
      <w:tr w14:paraId="599F2C0A">
        <w:tblPrEx>
          <w:tblCellMar>
            <w:top w:w="0" w:type="dxa"/>
            <w:left w:w="0" w:type="dxa"/>
            <w:bottom w:w="0" w:type="dxa"/>
            <w:right w:w="0" w:type="dxa"/>
          </w:tblCellMar>
        </w:tblPrEx>
        <w:trPr>
          <w:cantSplit/>
          <w:trHeight w:val="2115" w:hRule="atLeas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551F656">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15</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6F4B625">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编制鉴定报告</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D8A9603">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商品住宅专项维修资金使用备案（资金划转业主大会之后）</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6953969">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行政确认</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02B2140">
            <w:pPr>
              <w:widowControl/>
              <w:spacing w:line="28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住房和城乡建设部门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6B06093">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专业检测鉴定、造价咨询机构</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94F63EE">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不再要求出具维修鉴定报告，改由审批部门依据《北京市物业管理条例》的相关规定，通过抽检核查、定期报告等方式，加强对本市住宅专项维修资金的筹集、管理和使用的指导和监督</w:t>
            </w:r>
          </w:p>
        </w:tc>
      </w:tr>
      <w:tr w14:paraId="033010FC">
        <w:tblPrEx>
          <w:tblCellMar>
            <w:top w:w="0" w:type="dxa"/>
            <w:left w:w="0" w:type="dxa"/>
            <w:bottom w:w="0" w:type="dxa"/>
            <w:right w:w="0" w:type="dxa"/>
          </w:tblCellMar>
        </w:tblPrEx>
        <w:trPr>
          <w:cantSplit/>
          <w:trHeight w:val="1536" w:hRule="atLeas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3590FEB">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16</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3DA39E1">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出具单体工程附着式升降脚手架检验检测报告</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506058A">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附着式升降脚手架使用登记</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79163F4">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公共服务</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FB414E9">
            <w:pPr>
              <w:widowControl/>
              <w:spacing w:line="28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住房和城乡建设部门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A007B57">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第三方检验检测单位</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0A5F1EF">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不再要求申请人出具单体工程附着式升降脚手架检验检测报告，改由审批部门采用定期抽查检测方式，加强事中事后监管</w:t>
            </w:r>
          </w:p>
        </w:tc>
      </w:tr>
      <w:tr w14:paraId="39221774">
        <w:tblPrEx>
          <w:tblCellMar>
            <w:top w:w="0" w:type="dxa"/>
            <w:left w:w="0" w:type="dxa"/>
            <w:bottom w:w="0" w:type="dxa"/>
            <w:right w:w="0" w:type="dxa"/>
          </w:tblCellMar>
        </w:tblPrEx>
        <w:trPr>
          <w:cantSpli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E2FA438">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17</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1BE9A59">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出具从业资历公证书</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293CB08">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国际海上运输业务及海运辅助业务经营初审（经营国际船舶运输业务初审）</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DAC27E2">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其他行政权力</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58FCB93">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交通部门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B487B07">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公证机构</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A40B04A">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不再要求申请人出具从业资历的公证书，改由申请人承诺其提供的从业资历真实有效，定期开展事后核查</w:t>
            </w:r>
          </w:p>
        </w:tc>
      </w:tr>
      <w:tr w14:paraId="1675D101">
        <w:trPr>
          <w:cantSplit/>
          <w:trHeight w:val="1257" w:hRule="atLeas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F5A145F">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18</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12ACDAD">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发布遗失公告</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9384223">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补办《国际船舶运输经营许可证》</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E02254D">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其他行政权力</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791486A">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交通部门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7717082">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公众媒体</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B0636EB">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不再要求申请人在公众媒体上发布遗失公告，改由当事人自行出具遗失情况说明，定期开展事后核查</w:t>
            </w:r>
          </w:p>
        </w:tc>
      </w:tr>
      <w:tr w14:paraId="4691D214">
        <w:tblPrEx>
          <w:tblCellMar>
            <w:top w:w="0" w:type="dxa"/>
            <w:left w:w="0" w:type="dxa"/>
            <w:bottom w:w="0" w:type="dxa"/>
            <w:right w:w="0" w:type="dxa"/>
          </w:tblCellMar>
        </w:tblPrEx>
        <w:trPr>
          <w:cantSplit/>
          <w:trHeight w:val="1260" w:hRule="atLeas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4CEF862">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19</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7DB28E1">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出具从业资历公证书</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A8EC14E">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延长《国际船舶运输经营许可证》有效期</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23049C7">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其他行政权力</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E44F029">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交通部门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BC312B3">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公证机构</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D99CDC2">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不再要求申请人出具从业资历的公证书，改由申请人承诺其提供的从业资历真实有效，定期开展事后核查</w:t>
            </w:r>
          </w:p>
        </w:tc>
      </w:tr>
      <w:tr w14:paraId="68EEC904">
        <w:tblPrEx>
          <w:tblCellMar>
            <w:top w:w="0" w:type="dxa"/>
            <w:left w:w="0" w:type="dxa"/>
            <w:bottom w:w="0" w:type="dxa"/>
            <w:right w:w="0" w:type="dxa"/>
          </w:tblCellMar>
        </w:tblPrEx>
        <w:trPr>
          <w:cantSplit/>
          <w:trHeight w:val="1746" w:hRule="atLeas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68F2214">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C6BDACF">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编制作业后第三方监测总结报告</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21C9202">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对轨道交通安全保护区范围施工作业后评估结果进行备案</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A464593">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其他行政权力</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7C7459F">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交通部门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60005B7">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具有资质机构</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8FC4CD7">
            <w:pPr>
              <w:widowControl/>
              <w:spacing w:line="26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不再要求申请人编制作业后第三方监测总结报告，改由要求提供监理单位的监理工作总结和轨道运营单位自行编制的安全评估报告，加大事后抽查力度</w:t>
            </w:r>
          </w:p>
        </w:tc>
      </w:tr>
      <w:tr w14:paraId="2E3941DF">
        <w:tblPrEx>
          <w:tblCellMar>
            <w:top w:w="0" w:type="dxa"/>
            <w:left w:w="0" w:type="dxa"/>
            <w:bottom w:w="0" w:type="dxa"/>
            <w:right w:w="0" w:type="dxa"/>
          </w:tblCellMar>
        </w:tblPrEx>
        <w:trPr>
          <w:cantSplit/>
          <w:trHeight w:val="1813" w:hRule="atLeas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2351805">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21</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935371C">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出具调整运营计划可行性评估报告</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5A9914A">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轨道交通运营计划调整的批准</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A317A67">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其他行政权力</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AAF416D">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交通部门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AB1424B">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具有资质机构</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21BC7F7">
            <w:pPr>
              <w:widowControl/>
              <w:spacing w:line="26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不再要求申请人出具调整运营计划可行性评估报告，改由审批部门根据相关条例要求，依据单位上报的工作报告内容，定期组织抽查，加强事中事后监管</w:t>
            </w:r>
          </w:p>
        </w:tc>
      </w:tr>
      <w:tr w14:paraId="249E157F">
        <w:tblPrEx>
          <w:tblCellMar>
            <w:top w:w="0" w:type="dxa"/>
            <w:left w:w="0" w:type="dxa"/>
            <w:bottom w:w="0" w:type="dxa"/>
            <w:right w:w="0" w:type="dxa"/>
          </w:tblCellMar>
        </w:tblPrEx>
        <w:trPr>
          <w:cantSplit/>
          <w:trHeight w:val="1541" w:hRule="atLeas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2FDB2DB">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22</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51A91AC">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出具停运作业可行性评估报告</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14D46FA">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轨道交通停运作业的批准</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3AA122D">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其他行政权力</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7453AFE">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交通部门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9E77DBA">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具有资质机构</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6F84FA3">
            <w:pPr>
              <w:widowControl/>
              <w:spacing w:line="26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不再要求申请人出具停运可行性报告，改由审批部门根据相关条例要求，依据单位上报的工作报告内容，定期组织抽查，加强事中事后监管</w:t>
            </w:r>
          </w:p>
        </w:tc>
      </w:tr>
      <w:tr w14:paraId="2350C405">
        <w:tblPrEx>
          <w:tblCellMar>
            <w:top w:w="0" w:type="dxa"/>
            <w:left w:w="0" w:type="dxa"/>
            <w:bottom w:w="0" w:type="dxa"/>
            <w:right w:w="0" w:type="dxa"/>
          </w:tblCellMar>
        </w:tblPrEx>
        <w:trPr>
          <w:cantSplit/>
          <w:trHeight w:val="1266" w:hRule="atLeas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4FCDA55">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23</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4F70852">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防洪工程设施设计方案编制</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8EE465E">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建设项目水影响评价审查</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308A4EC">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6D98AC8">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水务部门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7105D46">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具有相应资质的勘测设计单位</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49D3595">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该事项对应的行政审批事项取消</w:t>
            </w:r>
          </w:p>
        </w:tc>
      </w:tr>
      <w:tr w14:paraId="5CDF2F7C">
        <w:tblPrEx>
          <w:tblCellMar>
            <w:top w:w="0" w:type="dxa"/>
            <w:left w:w="0" w:type="dxa"/>
            <w:bottom w:w="0" w:type="dxa"/>
            <w:right w:w="0" w:type="dxa"/>
          </w:tblCellMar>
        </w:tblPrEx>
        <w:trPr>
          <w:cantSpli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69224B2">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24</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A4574B9">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提交污水排入排水管网许可证核发所需的水质检测报告</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2FEFF32">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城镇污水排入排水管网许可（排水许可）</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7C58779">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0AE627D">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水务部门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5B0B391">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具有计量认证资质的水质检测机构</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D27A5D4">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不再要求申请人提供城镇污水排入排水管网许可（排水许可）所需的水质检测报告，改由申请人向审批部门作出书面承诺，审批部门加强事中事后监管</w:t>
            </w:r>
          </w:p>
        </w:tc>
      </w:tr>
      <w:tr w14:paraId="41877264">
        <w:tblPrEx>
          <w:tblCellMar>
            <w:top w:w="0" w:type="dxa"/>
            <w:left w:w="0" w:type="dxa"/>
            <w:bottom w:w="0" w:type="dxa"/>
            <w:right w:w="0" w:type="dxa"/>
          </w:tblCellMar>
        </w:tblPrEx>
        <w:trPr>
          <w:cantSpli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251E2C9">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25</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A880AA2">
            <w:pPr>
              <w:widowControl/>
              <w:spacing w:line="26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出具单一饲料、浓缩饲料、配合饲料、精料补充料和添加剂预混合饲料产品主成分指标检测方法验证结论</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1AEE00F">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饲料、饲料添加剂生产许可证审批</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2E04B23">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DAC330E">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农业农村部门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8A65D33">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具有相应资质的检验机构</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4AB464F">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申请人可按要求自行开展主成分指标检测方法验证，也可委托第三方检验机构检验或出具评价报告，审批部门不得以任何形式要求申请人必须委托特定中介机构提供服务</w:t>
            </w:r>
          </w:p>
        </w:tc>
      </w:tr>
      <w:tr w14:paraId="6E68114A">
        <w:tblPrEx>
          <w:tblCellMar>
            <w:top w:w="0" w:type="dxa"/>
            <w:left w:w="0" w:type="dxa"/>
            <w:bottom w:w="0" w:type="dxa"/>
            <w:right w:w="0" w:type="dxa"/>
          </w:tblCellMar>
        </w:tblPrEx>
        <w:trPr>
          <w:cantSpli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8EC2920">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26</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5F6EFF8">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发布的组织登记证书遗失公告</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6BA4C71">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向农村集体经济组织发放组织登记证书</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F8ABD4C">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行政确认</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FDB3E96">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农业农村部门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6CD9BEC">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公众媒体</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37092F5">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不再要求申请人在报刊发布组织登记证书遗失公告，改由申请人告知审批部门，审批部门在其官网发布</w:t>
            </w:r>
          </w:p>
        </w:tc>
      </w:tr>
      <w:tr w14:paraId="7DAAFE73">
        <w:tblPrEx>
          <w:tblCellMar>
            <w:top w:w="0" w:type="dxa"/>
            <w:left w:w="0" w:type="dxa"/>
            <w:bottom w:w="0" w:type="dxa"/>
            <w:right w:w="0" w:type="dxa"/>
          </w:tblCellMar>
        </w:tblPrEx>
        <w:trPr>
          <w:cantSpli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DBA8EAC">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27</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F343FDF">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提交被并购境内公司上一财务年度的财务审计报告</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3806293">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股权并购设立外商投资企业的审批（初审）</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37A2EC9">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CC93A30">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商务部门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B273E57">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会计师事务所</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FC891E4">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该事项对应的行政审批事项取消</w:t>
            </w:r>
          </w:p>
        </w:tc>
      </w:tr>
      <w:tr w14:paraId="1B52FFDC">
        <w:tblPrEx>
          <w:tblCellMar>
            <w:top w:w="0" w:type="dxa"/>
            <w:left w:w="0" w:type="dxa"/>
            <w:bottom w:w="0" w:type="dxa"/>
            <w:right w:w="0" w:type="dxa"/>
          </w:tblCellMar>
        </w:tblPrEx>
        <w:trPr>
          <w:cantSpli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CF061E6">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28</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C3B785A">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提交被并购境内有限责任公司的资产评估报告</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8229318">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股权并购设立外商投资企业的审批（初审）</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D235475">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1B3FC72">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商务部门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9CB1AC3">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具有相应资质的资产评估机构</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69B685D">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该事项对应的行政审批事项取消</w:t>
            </w:r>
          </w:p>
        </w:tc>
      </w:tr>
      <w:tr w14:paraId="3C58A6DF">
        <w:tblPrEx>
          <w:tblCellMar>
            <w:top w:w="0" w:type="dxa"/>
            <w:left w:w="0" w:type="dxa"/>
            <w:bottom w:w="0" w:type="dxa"/>
            <w:right w:w="0" w:type="dxa"/>
          </w:tblCellMar>
        </w:tblPrEx>
        <w:trPr>
          <w:cantSplit/>
          <w:trHeight w:val="1725" w:hRule="atLeas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0B54502">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29</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D61490D">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出具母公司的资产负债表</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B61CA78">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跨国公司在京地区总部认定</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8F5CC9C">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行政确认</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5F7921F">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商务部门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21CFBC3">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审计事务所</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0C57F5E">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申请人可按要求自行编制资产负债表或企业年报，也可委托审计事务所编制资产负债表或企业年报，审批部门不得以任何形式要求申请人必须委托特定中介机构提供服务</w:t>
            </w:r>
          </w:p>
        </w:tc>
      </w:tr>
      <w:tr w14:paraId="4AB38AE5">
        <w:tblPrEx>
          <w:tblCellMar>
            <w:top w:w="0" w:type="dxa"/>
            <w:left w:w="0" w:type="dxa"/>
            <w:bottom w:w="0" w:type="dxa"/>
            <w:right w:w="0" w:type="dxa"/>
          </w:tblCellMar>
        </w:tblPrEx>
        <w:trPr>
          <w:cantSplit/>
          <w:trHeight w:val="1836" w:hRule="atLeas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3597AF9">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30</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4B52112">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申请护士执业注册需提交的6个月内健康体检证明</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C5956F5">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护士执业注册</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719DD34">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CE2A99A">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卫生健康部门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221CAAF">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相关医疗机构</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82E96A3">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不再要求申请人提交申请护士执业注册所需的6个月内健康体检证明，改由用人单位按照人事管理相关规定进行体检，审批部门不再要求提交、不再重新审核</w:t>
            </w:r>
          </w:p>
        </w:tc>
      </w:tr>
      <w:tr w14:paraId="4D519A7B">
        <w:tblPrEx>
          <w:tblCellMar>
            <w:top w:w="0" w:type="dxa"/>
            <w:left w:w="0" w:type="dxa"/>
            <w:bottom w:w="0" w:type="dxa"/>
            <w:right w:w="0" w:type="dxa"/>
          </w:tblCellMar>
        </w:tblPrEx>
        <w:trPr>
          <w:cantSplit/>
          <w:trHeight w:val="1819" w:hRule="atLeas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2E9C44C">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31</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59DDE6B">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提交申请公共场所卫生行政许可所需的卫生检验结果或评价报告</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C1A67F3">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公共场所卫生行政许可（含公共场所卫生许可新办、公共场所卫生许可延续）</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E8268B8">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7A54632">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卫生健康部门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63E434D">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具有相应资质的检验机构</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9AA3394">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申请人可按要求自行编制卫生评价报告，也可委托第三方检验机构检验或出具评价报告，审批部门不得以任何形式要求申请人必须委托特定中介机构提供服务</w:t>
            </w:r>
          </w:p>
        </w:tc>
      </w:tr>
      <w:tr w14:paraId="76C19AED">
        <w:tblPrEx>
          <w:tblCellMar>
            <w:top w:w="0" w:type="dxa"/>
            <w:left w:w="0" w:type="dxa"/>
            <w:bottom w:w="0" w:type="dxa"/>
            <w:right w:w="0" w:type="dxa"/>
          </w:tblCellMar>
        </w:tblPrEx>
        <w:trPr>
          <w:cantSplit/>
          <w:trHeight w:val="1264" w:hRule="atLeas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B3B5726">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32</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1046472">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出具联合办馆协议公证书</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B4B1D55">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博物馆设立备案</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A7ED0AF">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其他行政权力</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54F85A8">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文物部门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5A6B3E3">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公证机构</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E52CB71">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不再要求申请人出具联合办馆协议公证书，改由审批部门采用对协议执行情况进行抽查，加强事中事后监管</w:t>
            </w:r>
          </w:p>
        </w:tc>
      </w:tr>
      <w:tr w14:paraId="2B98FC62">
        <w:tblPrEx>
          <w:tblCellMar>
            <w:top w:w="0" w:type="dxa"/>
            <w:left w:w="0" w:type="dxa"/>
            <w:bottom w:w="0" w:type="dxa"/>
            <w:right w:w="0" w:type="dxa"/>
          </w:tblCellMar>
        </w:tblPrEx>
        <w:trPr>
          <w:cantSplit/>
          <w:trHeight w:val="1523" w:hRule="atLeas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0100CB6">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33</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B39AC9E">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出具股东近两年审计报告和近三年利润表</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C0AC32E">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本市交易场所在外地设立分支机构审批</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3C385D6">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行政确认</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DBB5FA0">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金融监督管理部门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70DD29F">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会计师事务所</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3B541A6">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不再要求申请人出具股东近两年审计报告和近三年利润表</w:t>
            </w:r>
            <w:r>
              <w:rPr>
                <w:rFonts w:hint="eastAsia" w:ascii="仿宋_GB2312" w:hAnsi="宋体" w:cs="仿宋_GB2312"/>
                <w:color w:val="000000"/>
                <w:kern w:val="0"/>
                <w:sz w:val="24"/>
                <w:szCs w:val="24"/>
                <w:lang w:bidi="ar"/>
              </w:rPr>
              <w:t>，</w:t>
            </w:r>
            <w:r>
              <w:rPr>
                <w:rFonts w:hint="eastAsia" w:ascii="仿宋_GB2312" w:hAnsi="宋体" w:eastAsia="仿宋_GB2312" w:cs="仿宋_GB2312"/>
                <w:color w:val="000000"/>
                <w:kern w:val="0"/>
                <w:sz w:val="24"/>
                <w:szCs w:val="24"/>
                <w:lang w:bidi="ar"/>
              </w:rPr>
              <w:t>改由审批部门按照《北京市交易场所管理办法实施细则》的要求开展监管</w:t>
            </w:r>
          </w:p>
        </w:tc>
      </w:tr>
      <w:tr w14:paraId="49255C33">
        <w:tblPrEx>
          <w:tblCellMar>
            <w:top w:w="0" w:type="dxa"/>
            <w:left w:w="0" w:type="dxa"/>
            <w:bottom w:w="0" w:type="dxa"/>
            <w:right w:w="0" w:type="dxa"/>
          </w:tblCellMar>
        </w:tblPrEx>
        <w:trPr>
          <w:cantSpli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8AD80A2">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34</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C461D99">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出具年度财务审计报告</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4FF9B57">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外地交易场所在本市设立分支机构审批</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3E28708">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行政确认</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B870076">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金融监督管理部门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C590C72">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会计师事务所</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DC30CF0">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不再要求申请人出具年度财务审计报告</w:t>
            </w:r>
            <w:r>
              <w:rPr>
                <w:rFonts w:hint="eastAsia" w:ascii="仿宋_GB2312" w:hAnsi="宋体" w:cs="仿宋_GB2312"/>
                <w:color w:val="000000"/>
                <w:kern w:val="0"/>
                <w:sz w:val="24"/>
                <w:szCs w:val="24"/>
                <w:lang w:bidi="ar"/>
              </w:rPr>
              <w:t>，</w:t>
            </w:r>
            <w:r>
              <w:rPr>
                <w:rFonts w:hint="eastAsia" w:ascii="仿宋_GB2312" w:hAnsi="宋体" w:eastAsia="仿宋_GB2312" w:cs="仿宋_GB2312"/>
                <w:color w:val="000000"/>
                <w:kern w:val="0"/>
                <w:sz w:val="24"/>
                <w:szCs w:val="24"/>
                <w:lang w:bidi="ar"/>
              </w:rPr>
              <w:t>改由审批部门按照《北京市交易场所管理办法实施细则》的要求开展监管</w:t>
            </w:r>
          </w:p>
        </w:tc>
      </w:tr>
      <w:tr w14:paraId="61E99F75">
        <w:tblPrEx>
          <w:tblCellMar>
            <w:top w:w="0" w:type="dxa"/>
            <w:left w:w="0" w:type="dxa"/>
            <w:bottom w:w="0" w:type="dxa"/>
            <w:right w:w="0" w:type="dxa"/>
          </w:tblCellMar>
        </w:tblPrEx>
        <w:trPr>
          <w:cantSplit/>
          <w:trHeight w:val="2172" w:hRule="atLeas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38CB76F">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35</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A29FBB0">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提交证明人防工程易地建设的资料（设计方案图纸和地质勘察报告）</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586BCFE">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建设项目修建人民防空防护工程标准审查</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6A47A3B">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024CB52">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人民防空部门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43BE6C8">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具有相应资质的设计单位</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27BE85F">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申请人可按要求自行编制证明人防工程易地建设的资料，也可委托具有相应资质的设计单位出具相关技术说明文件，审批部门不得以任何形式要求申请人必须委托特定中介机构提供服务</w:t>
            </w:r>
          </w:p>
        </w:tc>
      </w:tr>
      <w:tr w14:paraId="5E2A93AA">
        <w:tblPrEx>
          <w:tblCellMar>
            <w:top w:w="0" w:type="dxa"/>
            <w:left w:w="0" w:type="dxa"/>
            <w:bottom w:w="0" w:type="dxa"/>
            <w:right w:w="0" w:type="dxa"/>
          </w:tblCellMar>
        </w:tblPrEx>
        <w:trPr>
          <w:cantSplit/>
          <w:trHeight w:val="1252" w:hRule="atLeas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82DB338">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36</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45A160D">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提交受托方生产的连续三批药品的检验报告书</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27A0DDF">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药品生产企业接受委托生产药品批准</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3EDF0A2">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53B7CF3">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药品监督管理部门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2C51B3F">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北京市药品检验所</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6BB843A">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该事项对应的行政审批事项取消</w:t>
            </w:r>
          </w:p>
        </w:tc>
      </w:tr>
      <w:tr w14:paraId="08979366">
        <w:tblPrEx>
          <w:tblCellMar>
            <w:top w:w="0" w:type="dxa"/>
            <w:left w:w="0" w:type="dxa"/>
            <w:bottom w:w="0" w:type="dxa"/>
            <w:right w:w="0" w:type="dxa"/>
          </w:tblCellMar>
        </w:tblPrEx>
        <w:trPr>
          <w:cantSplit/>
          <w:trHeight w:val="2107" w:hRule="atLeast"/>
          <w:jc w:val="center"/>
        </w:trPr>
        <w:tc>
          <w:tcPr>
            <w:tcW w:w="501"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F281FA1">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37</w:t>
            </w:r>
          </w:p>
        </w:tc>
        <w:tc>
          <w:tcPr>
            <w:tcW w:w="1276"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1D52F95">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化妆品生产企业计量器具检定</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8DA255F">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化妆品生产许可</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8456159">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56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B7DB0BB">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药品监督管理部门</w:t>
            </w:r>
          </w:p>
        </w:tc>
        <w:tc>
          <w:tcPr>
            <w:tcW w:w="113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3B56D01">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具有法定资质的检验机构</w:t>
            </w:r>
          </w:p>
        </w:tc>
        <w:tc>
          <w:tcPr>
            <w:tcW w:w="3205"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D5C2D22">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不再要求申请人进行化妆品生产许可所需的化妆品生产企业计量器具检定并提供检定报告书，改由审批部门根据《市场监管总局关于发布实施强制管理的计量器具目录的公告》等有关规定，加强事中事后监管</w:t>
            </w:r>
          </w:p>
        </w:tc>
      </w:tr>
      <w:tr w14:paraId="10DA06B9">
        <w:tblPrEx>
          <w:tblCellMar>
            <w:top w:w="0" w:type="dxa"/>
            <w:left w:w="0" w:type="dxa"/>
            <w:bottom w:w="0" w:type="dxa"/>
            <w:right w:w="0" w:type="dxa"/>
          </w:tblCellMar>
        </w:tblPrEx>
        <w:trPr>
          <w:cantSplit/>
          <w:jc w:val="center"/>
        </w:trPr>
        <w:tc>
          <w:tcPr>
            <w:tcW w:w="501" w:type="dxa"/>
            <w:vMerge w:val="restart"/>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8BFC511">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38</w:t>
            </w:r>
          </w:p>
        </w:tc>
        <w:tc>
          <w:tcPr>
            <w:tcW w:w="1276" w:type="dxa"/>
            <w:vMerge w:val="restart"/>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B72AFB2">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药品注册检验</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8054743">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不改变药品内在质量的补充申请审批-变更直接接触药品的包装材料或者容器</w:t>
            </w:r>
          </w:p>
        </w:tc>
        <w:tc>
          <w:tcPr>
            <w:tcW w:w="567" w:type="dxa"/>
            <w:vMerge w:val="restart"/>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2FAEB8A">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567" w:type="dxa"/>
            <w:vMerge w:val="restart"/>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BC00558">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药品监督管理部门</w:t>
            </w:r>
          </w:p>
        </w:tc>
        <w:tc>
          <w:tcPr>
            <w:tcW w:w="1134" w:type="dxa"/>
            <w:vMerge w:val="restart"/>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16311CA">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中国食品药品检定研究院、北京市药品检验所</w:t>
            </w:r>
          </w:p>
        </w:tc>
        <w:tc>
          <w:tcPr>
            <w:tcW w:w="3205" w:type="dxa"/>
            <w:vMerge w:val="restart"/>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A156C3E">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不再要求申请人进行国产药品注册审批（所列情形）所需的药品注册检验并提供检验报告，改审批部门委托药品检验机构实施检验</w:t>
            </w:r>
          </w:p>
        </w:tc>
      </w:tr>
      <w:tr w14:paraId="71B314BC">
        <w:tblPrEx>
          <w:tblCellMar>
            <w:top w:w="0" w:type="dxa"/>
            <w:left w:w="0" w:type="dxa"/>
            <w:bottom w:w="0" w:type="dxa"/>
            <w:right w:w="0" w:type="dxa"/>
          </w:tblCellMar>
        </w:tblPrEx>
        <w:trPr>
          <w:cantSplit/>
          <w:jc w:val="center"/>
        </w:trPr>
        <w:tc>
          <w:tcPr>
            <w:tcW w:w="501" w:type="dxa"/>
            <w:vMerge w:val="continue"/>
            <w:tcBorders>
              <w:top w:val="single" w:color="000000" w:sz="4" w:space="0"/>
              <w:left w:val="single" w:color="000000" w:sz="4" w:space="0"/>
              <w:bottom w:val="single" w:color="000000" w:sz="4" w:space="0"/>
              <w:right w:val="single" w:color="000000" w:sz="4" w:space="0"/>
            </w:tcBorders>
            <w:vAlign w:val="center"/>
          </w:tcPr>
          <w:p w14:paraId="7EBC408D">
            <w:pPr>
              <w:widowControl/>
              <w:jc w:val="left"/>
              <w:rPr>
                <w:rFonts w:ascii="仿宋_GB2312" w:hAnsi="仿宋_GB2312" w:eastAsia="仿宋_GB2312" w:cs="仿宋_GB2312"/>
                <w:color w:val="000000"/>
                <w:sz w:val="24"/>
                <w:szCs w:val="24"/>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78C7807">
            <w:pPr>
              <w:widowControl/>
              <w:jc w:val="left"/>
              <w:rPr>
                <w:rFonts w:ascii="仿宋_GB2312" w:hAnsi="宋体" w:eastAsia="仿宋_GB2312" w:cs="仿宋_GB2312"/>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3723F36">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不改变药品内在质量的补充申请审批-改变国内生产药品制剂的原料药产地</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65F0ACF2">
            <w:pPr>
              <w:widowControl/>
              <w:jc w:val="left"/>
              <w:rPr>
                <w:rFonts w:ascii="仿宋_GB2312" w:hAnsi="宋体" w:eastAsia="仿宋_GB2312" w:cs="仿宋_GB2312"/>
                <w:color w:val="000000"/>
                <w:sz w:val="24"/>
                <w:szCs w:val="24"/>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60733414">
            <w:pPr>
              <w:widowControl/>
              <w:jc w:val="left"/>
              <w:rPr>
                <w:rFonts w:ascii="仿宋_GB2312" w:hAnsi="宋体" w:eastAsia="仿宋_GB2312" w:cs="仿宋_GB2312"/>
                <w:color w:val="000000"/>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E17294F">
            <w:pPr>
              <w:widowControl/>
              <w:jc w:val="left"/>
              <w:rPr>
                <w:rFonts w:ascii="仿宋_GB2312" w:hAnsi="宋体" w:eastAsia="仿宋_GB2312" w:cs="仿宋_GB2312"/>
                <w:color w:val="000000"/>
                <w:sz w:val="24"/>
                <w:szCs w:val="24"/>
              </w:rPr>
            </w:pPr>
          </w:p>
        </w:tc>
        <w:tc>
          <w:tcPr>
            <w:tcW w:w="3205" w:type="dxa"/>
            <w:vMerge w:val="continue"/>
            <w:tcBorders>
              <w:top w:val="single" w:color="000000" w:sz="4" w:space="0"/>
              <w:left w:val="single" w:color="000000" w:sz="4" w:space="0"/>
              <w:bottom w:val="single" w:color="000000" w:sz="4" w:space="0"/>
              <w:right w:val="single" w:color="000000" w:sz="4" w:space="0"/>
            </w:tcBorders>
            <w:vAlign w:val="center"/>
          </w:tcPr>
          <w:p w14:paraId="0A2058B6">
            <w:pPr>
              <w:widowControl/>
              <w:jc w:val="left"/>
              <w:rPr>
                <w:rFonts w:ascii="仿宋_GB2312" w:hAnsi="宋体" w:eastAsia="仿宋_GB2312" w:cs="仿宋_GB2312"/>
                <w:color w:val="000000"/>
                <w:sz w:val="24"/>
                <w:szCs w:val="24"/>
              </w:rPr>
            </w:pPr>
          </w:p>
        </w:tc>
      </w:tr>
      <w:tr w14:paraId="70764C63">
        <w:tblPrEx>
          <w:tblCellMar>
            <w:top w:w="0" w:type="dxa"/>
            <w:left w:w="0" w:type="dxa"/>
            <w:bottom w:w="0" w:type="dxa"/>
            <w:right w:w="0" w:type="dxa"/>
          </w:tblCellMar>
        </w:tblPrEx>
        <w:trPr>
          <w:cantSplit/>
          <w:jc w:val="center"/>
        </w:trPr>
        <w:tc>
          <w:tcPr>
            <w:tcW w:w="501" w:type="dxa"/>
            <w:vMerge w:val="continue"/>
            <w:tcBorders>
              <w:top w:val="single" w:color="000000" w:sz="4" w:space="0"/>
              <w:left w:val="single" w:color="000000" w:sz="4" w:space="0"/>
              <w:bottom w:val="single" w:color="000000" w:sz="4" w:space="0"/>
              <w:right w:val="single" w:color="000000" w:sz="4" w:space="0"/>
            </w:tcBorders>
            <w:vAlign w:val="center"/>
          </w:tcPr>
          <w:p w14:paraId="62E0CF6B">
            <w:pPr>
              <w:widowControl/>
              <w:jc w:val="left"/>
              <w:rPr>
                <w:rFonts w:ascii="仿宋_GB2312" w:hAnsi="仿宋_GB2312" w:eastAsia="仿宋_GB2312" w:cs="仿宋_GB2312"/>
                <w:color w:val="000000"/>
                <w:sz w:val="24"/>
                <w:szCs w:val="24"/>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28A9B6A">
            <w:pPr>
              <w:widowControl/>
              <w:jc w:val="left"/>
              <w:rPr>
                <w:rFonts w:ascii="仿宋_GB2312" w:hAnsi="宋体" w:eastAsia="仿宋_GB2312" w:cs="仿宋_GB2312"/>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46CD664">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不改变药品内在质量的补充申请审批-国内药品生产企业内部改变药品生产场地</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64DB7B94">
            <w:pPr>
              <w:widowControl/>
              <w:jc w:val="left"/>
              <w:rPr>
                <w:rFonts w:ascii="仿宋_GB2312" w:hAnsi="宋体" w:eastAsia="仿宋_GB2312" w:cs="仿宋_GB2312"/>
                <w:color w:val="000000"/>
                <w:sz w:val="24"/>
                <w:szCs w:val="24"/>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65B21C68">
            <w:pPr>
              <w:widowControl/>
              <w:jc w:val="left"/>
              <w:rPr>
                <w:rFonts w:ascii="仿宋_GB2312" w:hAnsi="宋体" w:eastAsia="仿宋_GB2312" w:cs="仿宋_GB2312"/>
                <w:color w:val="000000"/>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AA1155A">
            <w:pPr>
              <w:widowControl/>
              <w:jc w:val="left"/>
              <w:rPr>
                <w:rFonts w:ascii="仿宋_GB2312" w:hAnsi="宋体" w:eastAsia="仿宋_GB2312" w:cs="仿宋_GB2312"/>
                <w:color w:val="000000"/>
                <w:sz w:val="24"/>
                <w:szCs w:val="24"/>
              </w:rPr>
            </w:pPr>
          </w:p>
        </w:tc>
        <w:tc>
          <w:tcPr>
            <w:tcW w:w="3205" w:type="dxa"/>
            <w:vMerge w:val="continue"/>
            <w:tcBorders>
              <w:top w:val="single" w:color="000000" w:sz="4" w:space="0"/>
              <w:left w:val="single" w:color="000000" w:sz="4" w:space="0"/>
              <w:bottom w:val="single" w:color="000000" w:sz="4" w:space="0"/>
              <w:right w:val="single" w:color="000000" w:sz="4" w:space="0"/>
            </w:tcBorders>
            <w:vAlign w:val="center"/>
          </w:tcPr>
          <w:p w14:paraId="0BEF2B8F">
            <w:pPr>
              <w:widowControl/>
              <w:jc w:val="left"/>
              <w:rPr>
                <w:rFonts w:ascii="仿宋_GB2312" w:hAnsi="宋体" w:eastAsia="仿宋_GB2312" w:cs="仿宋_GB2312"/>
                <w:color w:val="000000"/>
                <w:sz w:val="24"/>
                <w:szCs w:val="24"/>
              </w:rPr>
            </w:pPr>
          </w:p>
        </w:tc>
      </w:tr>
      <w:tr w14:paraId="4F0951B2">
        <w:tblPrEx>
          <w:tblCellMar>
            <w:top w:w="0" w:type="dxa"/>
            <w:left w:w="0" w:type="dxa"/>
            <w:bottom w:w="0" w:type="dxa"/>
            <w:right w:w="0" w:type="dxa"/>
          </w:tblCellMar>
        </w:tblPrEx>
        <w:trPr>
          <w:cantSplit/>
          <w:jc w:val="center"/>
        </w:trPr>
        <w:tc>
          <w:tcPr>
            <w:tcW w:w="501" w:type="dxa"/>
            <w:vMerge w:val="continue"/>
            <w:tcBorders>
              <w:top w:val="single" w:color="000000" w:sz="4" w:space="0"/>
              <w:left w:val="single" w:color="000000" w:sz="4" w:space="0"/>
              <w:bottom w:val="single" w:color="000000" w:sz="4" w:space="0"/>
              <w:right w:val="single" w:color="000000" w:sz="4" w:space="0"/>
            </w:tcBorders>
            <w:vAlign w:val="center"/>
          </w:tcPr>
          <w:p w14:paraId="5E94608B">
            <w:pPr>
              <w:widowControl/>
              <w:jc w:val="left"/>
              <w:rPr>
                <w:rFonts w:ascii="仿宋_GB2312" w:hAnsi="仿宋_GB2312" w:eastAsia="仿宋_GB2312" w:cs="仿宋_GB2312"/>
                <w:color w:val="000000"/>
                <w:sz w:val="24"/>
                <w:szCs w:val="24"/>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E40A725">
            <w:pPr>
              <w:widowControl/>
              <w:jc w:val="left"/>
              <w:rPr>
                <w:rFonts w:ascii="仿宋_GB2312" w:hAnsi="宋体" w:eastAsia="仿宋_GB2312" w:cs="仿宋_GB2312"/>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906AC9E">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不改变药品内在质量的补充申请审批-其他(审批)</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4C50F5B7">
            <w:pPr>
              <w:widowControl/>
              <w:jc w:val="left"/>
              <w:rPr>
                <w:rFonts w:ascii="仿宋_GB2312" w:hAnsi="宋体" w:eastAsia="仿宋_GB2312" w:cs="仿宋_GB2312"/>
                <w:color w:val="000000"/>
                <w:sz w:val="24"/>
                <w:szCs w:val="24"/>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5A324105">
            <w:pPr>
              <w:widowControl/>
              <w:jc w:val="left"/>
              <w:rPr>
                <w:rFonts w:ascii="仿宋_GB2312" w:hAnsi="宋体" w:eastAsia="仿宋_GB2312" w:cs="仿宋_GB2312"/>
                <w:color w:val="000000"/>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962A4D8">
            <w:pPr>
              <w:widowControl/>
              <w:jc w:val="left"/>
              <w:rPr>
                <w:rFonts w:ascii="仿宋_GB2312" w:hAnsi="宋体" w:eastAsia="仿宋_GB2312" w:cs="仿宋_GB2312"/>
                <w:color w:val="000000"/>
                <w:sz w:val="24"/>
                <w:szCs w:val="24"/>
              </w:rPr>
            </w:pPr>
          </w:p>
        </w:tc>
        <w:tc>
          <w:tcPr>
            <w:tcW w:w="3205" w:type="dxa"/>
            <w:vMerge w:val="continue"/>
            <w:tcBorders>
              <w:top w:val="single" w:color="000000" w:sz="4" w:space="0"/>
              <w:left w:val="single" w:color="000000" w:sz="4" w:space="0"/>
              <w:bottom w:val="single" w:color="000000" w:sz="4" w:space="0"/>
              <w:right w:val="single" w:color="000000" w:sz="4" w:space="0"/>
            </w:tcBorders>
            <w:vAlign w:val="center"/>
          </w:tcPr>
          <w:p w14:paraId="6C9703E2">
            <w:pPr>
              <w:widowControl/>
              <w:jc w:val="left"/>
              <w:rPr>
                <w:rFonts w:ascii="仿宋_GB2312" w:hAnsi="宋体" w:eastAsia="仿宋_GB2312" w:cs="仿宋_GB2312"/>
                <w:color w:val="000000"/>
                <w:sz w:val="24"/>
                <w:szCs w:val="24"/>
              </w:rPr>
            </w:pPr>
          </w:p>
        </w:tc>
      </w:tr>
      <w:tr w14:paraId="23C12B71">
        <w:tblPrEx>
          <w:tblCellMar>
            <w:top w:w="0" w:type="dxa"/>
            <w:left w:w="0" w:type="dxa"/>
            <w:bottom w:w="0" w:type="dxa"/>
            <w:right w:w="0" w:type="dxa"/>
          </w:tblCellMar>
        </w:tblPrEx>
        <w:trPr>
          <w:cantSplit/>
          <w:jc w:val="center"/>
        </w:trPr>
        <w:tc>
          <w:tcPr>
            <w:tcW w:w="501" w:type="dxa"/>
            <w:vMerge w:val="restart"/>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31CF4D4">
            <w:pPr>
              <w:widowControl/>
              <w:spacing w:line="28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39</w:t>
            </w:r>
          </w:p>
        </w:tc>
        <w:tc>
          <w:tcPr>
            <w:tcW w:w="1276" w:type="dxa"/>
            <w:vMerge w:val="restart"/>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E092463">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医疗机构配制、调剂制剂注册检验</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671CE3E">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 xml:space="preserve">医疗机构制剂补充申请审批-变更/增加制剂规格                        </w:t>
            </w:r>
          </w:p>
        </w:tc>
        <w:tc>
          <w:tcPr>
            <w:tcW w:w="567" w:type="dxa"/>
            <w:vMerge w:val="restart"/>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6295F294">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567" w:type="dxa"/>
            <w:vMerge w:val="restart"/>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75EB690">
            <w:pPr>
              <w:widowControl/>
              <w:spacing w:line="28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药品监督管理部门</w:t>
            </w:r>
          </w:p>
        </w:tc>
        <w:tc>
          <w:tcPr>
            <w:tcW w:w="1134" w:type="dxa"/>
            <w:vMerge w:val="restart"/>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61CFFA6">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北京市药品检验所</w:t>
            </w:r>
          </w:p>
        </w:tc>
        <w:tc>
          <w:tcPr>
            <w:tcW w:w="3205" w:type="dxa"/>
            <w:vMerge w:val="restart"/>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B4A014A">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不再要求申请人进行医疗机构制剂注册审批（所列子项）所需的医疗机构配制、调剂制剂注册检验并提供检验报告，改</w:t>
            </w:r>
            <w:bookmarkStart w:id="0" w:name="_GoBack"/>
            <w:bookmarkEnd w:id="0"/>
            <w:r>
              <w:rPr>
                <w:rFonts w:hint="eastAsia" w:ascii="仿宋_GB2312" w:hAnsi="宋体" w:eastAsia="仿宋_GB2312" w:cs="仿宋_GB2312"/>
                <w:color w:val="000000"/>
                <w:kern w:val="0"/>
                <w:sz w:val="24"/>
                <w:szCs w:val="24"/>
                <w:lang w:bidi="ar"/>
              </w:rPr>
              <w:t>由审批部门委托药品检验机构在申请受理后10日内组织现场考察，进行样品检验和质量标准技术复核</w:t>
            </w:r>
          </w:p>
        </w:tc>
      </w:tr>
      <w:tr w14:paraId="7134525D">
        <w:tblPrEx>
          <w:tblCellMar>
            <w:top w:w="0" w:type="dxa"/>
            <w:left w:w="0" w:type="dxa"/>
            <w:bottom w:w="0" w:type="dxa"/>
            <w:right w:w="0" w:type="dxa"/>
          </w:tblCellMar>
        </w:tblPrEx>
        <w:trPr>
          <w:cantSplit/>
          <w:jc w:val="center"/>
        </w:trPr>
        <w:tc>
          <w:tcPr>
            <w:tcW w:w="501" w:type="dxa"/>
            <w:vMerge w:val="continue"/>
            <w:tcBorders>
              <w:top w:val="single" w:color="000000" w:sz="4" w:space="0"/>
              <w:left w:val="single" w:color="000000" w:sz="4" w:space="0"/>
              <w:bottom w:val="single" w:color="000000" w:sz="4" w:space="0"/>
              <w:right w:val="single" w:color="000000" w:sz="4" w:space="0"/>
            </w:tcBorders>
            <w:vAlign w:val="center"/>
          </w:tcPr>
          <w:p w14:paraId="304864B1">
            <w:pPr>
              <w:widowControl/>
              <w:jc w:val="left"/>
              <w:rPr>
                <w:rFonts w:ascii="仿宋_GB2312" w:hAnsi="仿宋_GB2312" w:eastAsia="仿宋_GB2312" w:cs="仿宋_GB2312"/>
                <w:color w:val="000000"/>
                <w:sz w:val="24"/>
                <w:szCs w:val="24"/>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E61D5F1">
            <w:pPr>
              <w:widowControl/>
              <w:jc w:val="left"/>
              <w:rPr>
                <w:rFonts w:ascii="仿宋_GB2312" w:hAnsi="宋体" w:eastAsia="仿宋_GB2312" w:cs="仿宋_GB2312"/>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3C9DB7D">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 xml:space="preserve">医疗机构制剂补充申请审批-变更制剂的辅料                      </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5E3C3B7F">
            <w:pPr>
              <w:widowControl/>
              <w:jc w:val="left"/>
              <w:rPr>
                <w:rFonts w:ascii="仿宋_GB2312" w:hAnsi="宋体" w:eastAsia="仿宋_GB2312" w:cs="仿宋_GB2312"/>
                <w:color w:val="000000"/>
                <w:sz w:val="24"/>
                <w:szCs w:val="24"/>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2193B0C4">
            <w:pPr>
              <w:widowControl/>
              <w:jc w:val="left"/>
              <w:rPr>
                <w:rFonts w:ascii="仿宋_GB2312" w:hAnsi="宋体" w:eastAsia="仿宋_GB2312" w:cs="仿宋_GB2312"/>
                <w:color w:val="000000"/>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C2F7286">
            <w:pPr>
              <w:widowControl/>
              <w:jc w:val="left"/>
              <w:rPr>
                <w:rFonts w:ascii="仿宋_GB2312" w:hAnsi="宋体" w:eastAsia="仿宋_GB2312" w:cs="仿宋_GB2312"/>
                <w:color w:val="000000"/>
                <w:sz w:val="24"/>
                <w:szCs w:val="24"/>
              </w:rPr>
            </w:pPr>
          </w:p>
        </w:tc>
        <w:tc>
          <w:tcPr>
            <w:tcW w:w="3205" w:type="dxa"/>
            <w:vMerge w:val="continue"/>
            <w:tcBorders>
              <w:top w:val="single" w:color="000000" w:sz="4" w:space="0"/>
              <w:left w:val="single" w:color="000000" w:sz="4" w:space="0"/>
              <w:bottom w:val="single" w:color="000000" w:sz="4" w:space="0"/>
              <w:right w:val="single" w:color="000000" w:sz="4" w:space="0"/>
            </w:tcBorders>
            <w:vAlign w:val="center"/>
          </w:tcPr>
          <w:p w14:paraId="43C88BA9">
            <w:pPr>
              <w:widowControl/>
              <w:jc w:val="left"/>
              <w:rPr>
                <w:rFonts w:ascii="仿宋_GB2312" w:hAnsi="宋体" w:eastAsia="仿宋_GB2312" w:cs="仿宋_GB2312"/>
                <w:color w:val="000000"/>
                <w:sz w:val="24"/>
                <w:szCs w:val="24"/>
              </w:rPr>
            </w:pPr>
          </w:p>
        </w:tc>
      </w:tr>
      <w:tr w14:paraId="2FB80592">
        <w:tblPrEx>
          <w:tblCellMar>
            <w:top w:w="0" w:type="dxa"/>
            <w:left w:w="0" w:type="dxa"/>
            <w:bottom w:w="0" w:type="dxa"/>
            <w:right w:w="0" w:type="dxa"/>
          </w:tblCellMar>
        </w:tblPrEx>
        <w:trPr>
          <w:cantSplit/>
          <w:jc w:val="center"/>
        </w:trPr>
        <w:tc>
          <w:tcPr>
            <w:tcW w:w="501" w:type="dxa"/>
            <w:vMerge w:val="continue"/>
            <w:tcBorders>
              <w:top w:val="single" w:color="000000" w:sz="4" w:space="0"/>
              <w:left w:val="single" w:color="000000" w:sz="4" w:space="0"/>
              <w:bottom w:val="single" w:color="000000" w:sz="4" w:space="0"/>
              <w:right w:val="single" w:color="000000" w:sz="4" w:space="0"/>
            </w:tcBorders>
            <w:vAlign w:val="center"/>
          </w:tcPr>
          <w:p w14:paraId="1183A4FE">
            <w:pPr>
              <w:widowControl/>
              <w:jc w:val="left"/>
              <w:rPr>
                <w:rFonts w:ascii="仿宋_GB2312" w:hAnsi="仿宋_GB2312" w:eastAsia="仿宋_GB2312" w:cs="仿宋_GB2312"/>
                <w:color w:val="000000"/>
                <w:sz w:val="24"/>
                <w:szCs w:val="24"/>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A278D1C">
            <w:pPr>
              <w:widowControl/>
              <w:jc w:val="left"/>
              <w:rPr>
                <w:rFonts w:ascii="仿宋_GB2312" w:hAnsi="宋体" w:eastAsia="仿宋_GB2312" w:cs="仿宋_GB2312"/>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7CBF894">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 xml:space="preserve">医疗机构制剂补充申请审批-变更制剂的配制工艺                    </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79F64789">
            <w:pPr>
              <w:widowControl/>
              <w:jc w:val="left"/>
              <w:rPr>
                <w:rFonts w:ascii="仿宋_GB2312" w:hAnsi="宋体" w:eastAsia="仿宋_GB2312" w:cs="仿宋_GB2312"/>
                <w:color w:val="000000"/>
                <w:sz w:val="24"/>
                <w:szCs w:val="24"/>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1EBB9CC7">
            <w:pPr>
              <w:widowControl/>
              <w:jc w:val="left"/>
              <w:rPr>
                <w:rFonts w:ascii="仿宋_GB2312" w:hAnsi="宋体" w:eastAsia="仿宋_GB2312" w:cs="仿宋_GB2312"/>
                <w:color w:val="000000"/>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A945F13">
            <w:pPr>
              <w:widowControl/>
              <w:jc w:val="left"/>
              <w:rPr>
                <w:rFonts w:ascii="仿宋_GB2312" w:hAnsi="宋体" w:eastAsia="仿宋_GB2312" w:cs="仿宋_GB2312"/>
                <w:color w:val="000000"/>
                <w:sz w:val="24"/>
                <w:szCs w:val="24"/>
              </w:rPr>
            </w:pPr>
          </w:p>
        </w:tc>
        <w:tc>
          <w:tcPr>
            <w:tcW w:w="3205" w:type="dxa"/>
            <w:vMerge w:val="continue"/>
            <w:tcBorders>
              <w:top w:val="single" w:color="000000" w:sz="4" w:space="0"/>
              <w:left w:val="single" w:color="000000" w:sz="4" w:space="0"/>
              <w:bottom w:val="single" w:color="000000" w:sz="4" w:space="0"/>
              <w:right w:val="single" w:color="000000" w:sz="4" w:space="0"/>
            </w:tcBorders>
            <w:vAlign w:val="center"/>
          </w:tcPr>
          <w:p w14:paraId="19225E57">
            <w:pPr>
              <w:widowControl/>
              <w:jc w:val="left"/>
              <w:rPr>
                <w:rFonts w:ascii="仿宋_GB2312" w:hAnsi="宋体" w:eastAsia="仿宋_GB2312" w:cs="仿宋_GB2312"/>
                <w:color w:val="000000"/>
                <w:sz w:val="24"/>
                <w:szCs w:val="24"/>
              </w:rPr>
            </w:pPr>
          </w:p>
        </w:tc>
      </w:tr>
      <w:tr w14:paraId="56FC9448">
        <w:tblPrEx>
          <w:tblCellMar>
            <w:top w:w="0" w:type="dxa"/>
            <w:left w:w="0" w:type="dxa"/>
            <w:bottom w:w="0" w:type="dxa"/>
            <w:right w:w="0" w:type="dxa"/>
          </w:tblCellMar>
        </w:tblPrEx>
        <w:trPr>
          <w:cantSplit/>
          <w:jc w:val="center"/>
        </w:trPr>
        <w:tc>
          <w:tcPr>
            <w:tcW w:w="501" w:type="dxa"/>
            <w:vMerge w:val="continue"/>
            <w:tcBorders>
              <w:top w:val="single" w:color="000000" w:sz="4" w:space="0"/>
              <w:left w:val="single" w:color="000000" w:sz="4" w:space="0"/>
              <w:bottom w:val="single" w:color="000000" w:sz="4" w:space="0"/>
              <w:right w:val="single" w:color="000000" w:sz="4" w:space="0"/>
            </w:tcBorders>
            <w:vAlign w:val="center"/>
          </w:tcPr>
          <w:p w14:paraId="06E71615">
            <w:pPr>
              <w:widowControl/>
              <w:jc w:val="left"/>
              <w:rPr>
                <w:rFonts w:ascii="仿宋_GB2312" w:hAnsi="仿宋_GB2312" w:eastAsia="仿宋_GB2312" w:cs="仿宋_GB2312"/>
                <w:color w:val="000000"/>
                <w:sz w:val="24"/>
                <w:szCs w:val="24"/>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F99FB16">
            <w:pPr>
              <w:widowControl/>
              <w:jc w:val="left"/>
              <w:rPr>
                <w:rFonts w:ascii="仿宋_GB2312" w:hAnsi="宋体" w:eastAsia="仿宋_GB2312" w:cs="仿宋_GB2312"/>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18EADFA">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 xml:space="preserve">医疗机构制剂补充申请审批-修改制剂的质量标准                     </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1036CBFC">
            <w:pPr>
              <w:widowControl/>
              <w:jc w:val="left"/>
              <w:rPr>
                <w:rFonts w:ascii="仿宋_GB2312" w:hAnsi="宋体" w:eastAsia="仿宋_GB2312" w:cs="仿宋_GB2312"/>
                <w:color w:val="000000"/>
                <w:sz w:val="24"/>
                <w:szCs w:val="24"/>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17028406">
            <w:pPr>
              <w:widowControl/>
              <w:jc w:val="left"/>
              <w:rPr>
                <w:rFonts w:ascii="仿宋_GB2312" w:hAnsi="宋体" w:eastAsia="仿宋_GB2312" w:cs="仿宋_GB2312"/>
                <w:color w:val="000000"/>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CE7F1B0">
            <w:pPr>
              <w:widowControl/>
              <w:jc w:val="left"/>
              <w:rPr>
                <w:rFonts w:ascii="仿宋_GB2312" w:hAnsi="宋体" w:eastAsia="仿宋_GB2312" w:cs="仿宋_GB2312"/>
                <w:color w:val="000000"/>
                <w:sz w:val="24"/>
                <w:szCs w:val="24"/>
              </w:rPr>
            </w:pPr>
          </w:p>
        </w:tc>
        <w:tc>
          <w:tcPr>
            <w:tcW w:w="3205" w:type="dxa"/>
            <w:vMerge w:val="continue"/>
            <w:tcBorders>
              <w:top w:val="single" w:color="000000" w:sz="4" w:space="0"/>
              <w:left w:val="single" w:color="000000" w:sz="4" w:space="0"/>
              <w:bottom w:val="single" w:color="000000" w:sz="4" w:space="0"/>
              <w:right w:val="single" w:color="000000" w:sz="4" w:space="0"/>
            </w:tcBorders>
            <w:vAlign w:val="center"/>
          </w:tcPr>
          <w:p w14:paraId="44495CEF">
            <w:pPr>
              <w:widowControl/>
              <w:jc w:val="left"/>
              <w:rPr>
                <w:rFonts w:ascii="仿宋_GB2312" w:hAnsi="宋体" w:eastAsia="仿宋_GB2312" w:cs="仿宋_GB2312"/>
                <w:color w:val="000000"/>
                <w:sz w:val="24"/>
                <w:szCs w:val="24"/>
              </w:rPr>
            </w:pPr>
          </w:p>
        </w:tc>
      </w:tr>
      <w:tr w14:paraId="16609D62">
        <w:tblPrEx>
          <w:tblCellMar>
            <w:top w:w="0" w:type="dxa"/>
            <w:left w:w="0" w:type="dxa"/>
            <w:bottom w:w="0" w:type="dxa"/>
            <w:right w:w="0" w:type="dxa"/>
          </w:tblCellMar>
        </w:tblPrEx>
        <w:trPr>
          <w:cantSplit/>
          <w:jc w:val="center"/>
        </w:trPr>
        <w:tc>
          <w:tcPr>
            <w:tcW w:w="501" w:type="dxa"/>
            <w:vMerge w:val="continue"/>
            <w:tcBorders>
              <w:top w:val="single" w:color="000000" w:sz="4" w:space="0"/>
              <w:left w:val="single" w:color="000000" w:sz="4" w:space="0"/>
              <w:bottom w:val="single" w:color="000000" w:sz="4" w:space="0"/>
              <w:right w:val="single" w:color="000000" w:sz="4" w:space="0"/>
            </w:tcBorders>
            <w:vAlign w:val="center"/>
          </w:tcPr>
          <w:p w14:paraId="4ACE19BE">
            <w:pPr>
              <w:widowControl/>
              <w:jc w:val="left"/>
              <w:rPr>
                <w:rFonts w:ascii="仿宋_GB2312" w:hAnsi="仿宋_GB2312" w:eastAsia="仿宋_GB2312" w:cs="仿宋_GB2312"/>
                <w:color w:val="000000"/>
                <w:sz w:val="24"/>
                <w:szCs w:val="24"/>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33A21D9">
            <w:pPr>
              <w:widowControl/>
              <w:jc w:val="left"/>
              <w:rPr>
                <w:rFonts w:ascii="仿宋_GB2312" w:hAnsi="宋体" w:eastAsia="仿宋_GB2312" w:cs="仿宋_GB2312"/>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F6FC7D6">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医疗机构制剂补充申请审批-替代或减去制剂标准处方中的毒性药材或处于濒危状态的药材</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5AE4EF0F">
            <w:pPr>
              <w:widowControl/>
              <w:jc w:val="left"/>
              <w:rPr>
                <w:rFonts w:ascii="仿宋_GB2312" w:hAnsi="宋体" w:eastAsia="仿宋_GB2312" w:cs="仿宋_GB2312"/>
                <w:color w:val="000000"/>
                <w:sz w:val="24"/>
                <w:szCs w:val="24"/>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5901674F">
            <w:pPr>
              <w:widowControl/>
              <w:jc w:val="left"/>
              <w:rPr>
                <w:rFonts w:ascii="仿宋_GB2312" w:hAnsi="宋体" w:eastAsia="仿宋_GB2312" w:cs="仿宋_GB2312"/>
                <w:color w:val="000000"/>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E9B2999">
            <w:pPr>
              <w:widowControl/>
              <w:jc w:val="left"/>
              <w:rPr>
                <w:rFonts w:ascii="仿宋_GB2312" w:hAnsi="宋体" w:eastAsia="仿宋_GB2312" w:cs="仿宋_GB2312"/>
                <w:color w:val="000000"/>
                <w:sz w:val="24"/>
                <w:szCs w:val="24"/>
              </w:rPr>
            </w:pPr>
          </w:p>
        </w:tc>
        <w:tc>
          <w:tcPr>
            <w:tcW w:w="3205" w:type="dxa"/>
            <w:vMerge w:val="continue"/>
            <w:tcBorders>
              <w:top w:val="single" w:color="000000" w:sz="4" w:space="0"/>
              <w:left w:val="single" w:color="000000" w:sz="4" w:space="0"/>
              <w:bottom w:val="single" w:color="000000" w:sz="4" w:space="0"/>
              <w:right w:val="single" w:color="000000" w:sz="4" w:space="0"/>
            </w:tcBorders>
            <w:vAlign w:val="center"/>
          </w:tcPr>
          <w:p w14:paraId="2613BDA4">
            <w:pPr>
              <w:widowControl/>
              <w:jc w:val="left"/>
              <w:rPr>
                <w:rFonts w:ascii="仿宋_GB2312" w:hAnsi="宋体" w:eastAsia="仿宋_GB2312" w:cs="仿宋_GB2312"/>
                <w:color w:val="000000"/>
                <w:sz w:val="24"/>
                <w:szCs w:val="24"/>
              </w:rPr>
            </w:pPr>
          </w:p>
        </w:tc>
      </w:tr>
      <w:tr w14:paraId="4B643DB7">
        <w:tblPrEx>
          <w:tblCellMar>
            <w:top w:w="0" w:type="dxa"/>
            <w:left w:w="0" w:type="dxa"/>
            <w:bottom w:w="0" w:type="dxa"/>
            <w:right w:w="0" w:type="dxa"/>
          </w:tblCellMar>
        </w:tblPrEx>
        <w:trPr>
          <w:cantSplit/>
          <w:jc w:val="center"/>
        </w:trPr>
        <w:tc>
          <w:tcPr>
            <w:tcW w:w="501" w:type="dxa"/>
            <w:vMerge w:val="continue"/>
            <w:tcBorders>
              <w:top w:val="single" w:color="000000" w:sz="4" w:space="0"/>
              <w:left w:val="single" w:color="000000" w:sz="4" w:space="0"/>
              <w:bottom w:val="single" w:color="000000" w:sz="4" w:space="0"/>
              <w:right w:val="single" w:color="000000" w:sz="4" w:space="0"/>
            </w:tcBorders>
            <w:vAlign w:val="center"/>
          </w:tcPr>
          <w:p w14:paraId="40490F43">
            <w:pPr>
              <w:widowControl/>
              <w:jc w:val="left"/>
              <w:rPr>
                <w:rFonts w:ascii="仿宋_GB2312" w:hAnsi="仿宋_GB2312" w:eastAsia="仿宋_GB2312" w:cs="仿宋_GB2312"/>
                <w:color w:val="000000"/>
                <w:sz w:val="24"/>
                <w:szCs w:val="24"/>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55E2A85">
            <w:pPr>
              <w:widowControl/>
              <w:jc w:val="left"/>
              <w:rPr>
                <w:rFonts w:ascii="仿宋_GB2312" w:hAnsi="宋体" w:eastAsia="仿宋_GB2312" w:cs="仿宋_GB2312"/>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2A46CDE">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医疗机构制剂注册审批</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6B45323F">
            <w:pPr>
              <w:widowControl/>
              <w:jc w:val="left"/>
              <w:rPr>
                <w:rFonts w:ascii="仿宋_GB2312" w:hAnsi="宋体" w:eastAsia="仿宋_GB2312" w:cs="仿宋_GB2312"/>
                <w:color w:val="000000"/>
                <w:sz w:val="24"/>
                <w:szCs w:val="24"/>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7B342E1A">
            <w:pPr>
              <w:widowControl/>
              <w:jc w:val="left"/>
              <w:rPr>
                <w:rFonts w:ascii="仿宋_GB2312" w:hAnsi="宋体" w:eastAsia="仿宋_GB2312" w:cs="仿宋_GB2312"/>
                <w:color w:val="000000"/>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F78C10A">
            <w:pPr>
              <w:widowControl/>
              <w:jc w:val="left"/>
              <w:rPr>
                <w:rFonts w:ascii="仿宋_GB2312" w:hAnsi="宋体" w:eastAsia="仿宋_GB2312" w:cs="仿宋_GB2312"/>
                <w:color w:val="000000"/>
                <w:sz w:val="24"/>
                <w:szCs w:val="24"/>
              </w:rPr>
            </w:pPr>
          </w:p>
        </w:tc>
        <w:tc>
          <w:tcPr>
            <w:tcW w:w="3205" w:type="dxa"/>
            <w:vMerge w:val="continue"/>
            <w:tcBorders>
              <w:top w:val="single" w:color="000000" w:sz="4" w:space="0"/>
              <w:left w:val="single" w:color="000000" w:sz="4" w:space="0"/>
              <w:bottom w:val="single" w:color="000000" w:sz="4" w:space="0"/>
              <w:right w:val="single" w:color="000000" w:sz="4" w:space="0"/>
            </w:tcBorders>
            <w:vAlign w:val="center"/>
          </w:tcPr>
          <w:p w14:paraId="3E4AC3DB">
            <w:pPr>
              <w:widowControl/>
              <w:jc w:val="left"/>
              <w:rPr>
                <w:rFonts w:ascii="仿宋_GB2312" w:hAnsi="宋体" w:eastAsia="仿宋_GB2312" w:cs="仿宋_GB2312"/>
                <w:color w:val="000000"/>
                <w:sz w:val="24"/>
                <w:szCs w:val="24"/>
              </w:rPr>
            </w:pPr>
          </w:p>
        </w:tc>
      </w:tr>
      <w:tr w14:paraId="5CD8C0D8">
        <w:tblPrEx>
          <w:tblCellMar>
            <w:top w:w="0" w:type="dxa"/>
            <w:left w:w="0" w:type="dxa"/>
            <w:bottom w:w="0" w:type="dxa"/>
            <w:right w:w="0" w:type="dxa"/>
          </w:tblCellMar>
        </w:tblPrEx>
        <w:trPr>
          <w:cantSplit/>
          <w:jc w:val="center"/>
        </w:trPr>
        <w:tc>
          <w:tcPr>
            <w:tcW w:w="501" w:type="dxa"/>
            <w:vMerge w:val="continue"/>
            <w:tcBorders>
              <w:top w:val="single" w:color="000000" w:sz="4" w:space="0"/>
              <w:left w:val="single" w:color="000000" w:sz="4" w:space="0"/>
              <w:bottom w:val="single" w:color="000000" w:sz="4" w:space="0"/>
              <w:right w:val="single" w:color="000000" w:sz="4" w:space="0"/>
            </w:tcBorders>
            <w:vAlign w:val="center"/>
          </w:tcPr>
          <w:p w14:paraId="24FDAD07">
            <w:pPr>
              <w:widowControl/>
              <w:jc w:val="left"/>
              <w:rPr>
                <w:rFonts w:ascii="仿宋_GB2312" w:hAnsi="仿宋_GB2312" w:eastAsia="仿宋_GB2312" w:cs="仿宋_GB2312"/>
                <w:color w:val="000000"/>
                <w:sz w:val="24"/>
                <w:szCs w:val="24"/>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82B8EE3">
            <w:pPr>
              <w:widowControl/>
              <w:jc w:val="left"/>
              <w:rPr>
                <w:rFonts w:ascii="仿宋_GB2312" w:hAnsi="宋体" w:eastAsia="仿宋_GB2312" w:cs="仿宋_GB2312"/>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5415B99">
            <w:pPr>
              <w:widowControl/>
              <w:spacing w:line="280" w:lineRule="exac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医疗机构制剂补充申请审批-其他</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51C4D4B7">
            <w:pPr>
              <w:widowControl/>
              <w:jc w:val="left"/>
              <w:rPr>
                <w:rFonts w:ascii="仿宋_GB2312" w:hAnsi="宋体" w:eastAsia="仿宋_GB2312" w:cs="仿宋_GB2312"/>
                <w:color w:val="000000"/>
                <w:sz w:val="24"/>
                <w:szCs w:val="24"/>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1231B712">
            <w:pPr>
              <w:widowControl/>
              <w:jc w:val="left"/>
              <w:rPr>
                <w:rFonts w:ascii="仿宋_GB2312" w:hAnsi="宋体" w:eastAsia="仿宋_GB2312" w:cs="仿宋_GB2312"/>
                <w:color w:val="000000"/>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670E9C8">
            <w:pPr>
              <w:widowControl/>
              <w:jc w:val="left"/>
              <w:rPr>
                <w:rFonts w:ascii="仿宋_GB2312" w:hAnsi="宋体" w:eastAsia="仿宋_GB2312" w:cs="仿宋_GB2312"/>
                <w:color w:val="000000"/>
                <w:sz w:val="24"/>
                <w:szCs w:val="24"/>
              </w:rPr>
            </w:pPr>
          </w:p>
        </w:tc>
        <w:tc>
          <w:tcPr>
            <w:tcW w:w="3205" w:type="dxa"/>
            <w:vMerge w:val="continue"/>
            <w:tcBorders>
              <w:top w:val="single" w:color="000000" w:sz="4" w:space="0"/>
              <w:left w:val="single" w:color="000000" w:sz="4" w:space="0"/>
              <w:bottom w:val="single" w:color="000000" w:sz="4" w:space="0"/>
              <w:right w:val="single" w:color="000000" w:sz="4" w:space="0"/>
            </w:tcBorders>
            <w:vAlign w:val="center"/>
          </w:tcPr>
          <w:p w14:paraId="41B4E680">
            <w:pPr>
              <w:widowControl/>
              <w:jc w:val="left"/>
              <w:rPr>
                <w:rFonts w:ascii="仿宋_GB2312" w:hAnsi="宋体" w:eastAsia="仿宋_GB2312" w:cs="仿宋_GB2312"/>
                <w:color w:val="000000"/>
                <w:sz w:val="24"/>
                <w:szCs w:val="24"/>
              </w:rPr>
            </w:pPr>
          </w:p>
        </w:tc>
      </w:tr>
    </w:tbl>
    <w:p w14:paraId="08A2FE85">
      <w:pPr>
        <w:widowControl/>
        <w:spacing w:line="560" w:lineRule="exact"/>
        <w:jc w:val="left"/>
        <w:textAlignment w:val="center"/>
        <w:rPr>
          <w:rFonts w:hint="eastAsia" w:ascii="黑体" w:hAnsi="黑体" w:eastAsia="黑体" w:cs="黑体"/>
          <w:color w:val="000000"/>
          <w:kern w:val="0"/>
          <w:sz w:val="32"/>
          <w:szCs w:val="32"/>
          <w:lang w:bidi="ar"/>
        </w:rPr>
      </w:pPr>
    </w:p>
    <w:p w14:paraId="5C71B4DE">
      <w:pPr>
        <w:widowControl/>
        <w:spacing w:line="560" w:lineRule="exact"/>
        <w:jc w:val="left"/>
        <w:textAlignment w:val="center"/>
        <w:rPr>
          <w:rFonts w:hint="eastAsia" w:ascii="黑体" w:hAnsi="黑体" w:eastAsia="黑体" w:cs="黑体"/>
          <w:color w:val="000000"/>
          <w:kern w:val="0"/>
          <w:sz w:val="32"/>
          <w:szCs w:val="32"/>
          <w:lang w:bidi="ar"/>
        </w:rPr>
      </w:pPr>
    </w:p>
    <w:p w14:paraId="67EC2AC3">
      <w:pPr>
        <w:widowControl/>
        <w:spacing w:line="560" w:lineRule="exact"/>
        <w:jc w:val="left"/>
        <w:textAlignment w:val="center"/>
        <w:rPr>
          <w:rFonts w:hint="eastAsia" w:ascii="黑体" w:hAnsi="黑体" w:eastAsia="黑体" w:cs="黑体"/>
          <w:color w:val="000000"/>
          <w:kern w:val="0"/>
          <w:sz w:val="32"/>
          <w:szCs w:val="32"/>
          <w:lang w:bidi="ar"/>
        </w:rPr>
      </w:pPr>
    </w:p>
    <w:p w14:paraId="30E37C47">
      <w:pPr>
        <w:widowControl/>
        <w:spacing w:line="560" w:lineRule="exact"/>
        <w:jc w:val="left"/>
        <w:textAlignment w:val="center"/>
        <w:rPr>
          <w:rFonts w:hint="eastAsia" w:ascii="黑体" w:hAnsi="黑体" w:eastAsia="黑体" w:cs="黑体"/>
          <w:color w:val="000000"/>
          <w:kern w:val="0"/>
          <w:sz w:val="32"/>
          <w:szCs w:val="32"/>
          <w:lang w:bidi="ar"/>
        </w:rPr>
      </w:pPr>
    </w:p>
    <w:p w14:paraId="0D53E6FE">
      <w:pPr>
        <w:widowControl/>
        <w:spacing w:line="560" w:lineRule="exact"/>
        <w:jc w:val="left"/>
        <w:textAlignment w:val="center"/>
        <w:rPr>
          <w:rFonts w:hint="eastAsia" w:ascii="黑体" w:hAnsi="黑体" w:eastAsia="黑体" w:cs="黑体"/>
          <w:color w:val="000000"/>
          <w:kern w:val="0"/>
          <w:sz w:val="32"/>
          <w:szCs w:val="32"/>
          <w:lang w:bidi="ar"/>
        </w:rPr>
      </w:pPr>
    </w:p>
    <w:p w14:paraId="769746AF">
      <w:pPr>
        <w:widowControl/>
        <w:spacing w:line="560" w:lineRule="exact"/>
        <w:jc w:val="left"/>
        <w:textAlignment w:val="center"/>
        <w:rPr>
          <w:rFonts w:hint="eastAsia" w:ascii="黑体" w:hAnsi="黑体" w:eastAsia="黑体" w:cs="黑体"/>
          <w:color w:val="000000"/>
          <w:kern w:val="0"/>
          <w:sz w:val="32"/>
          <w:szCs w:val="32"/>
          <w:lang w:bidi="ar"/>
        </w:rPr>
      </w:pPr>
    </w:p>
    <w:p w14:paraId="74CDE1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5FF47A"/>
    <w:rsid w:val="252907BA"/>
    <w:rsid w:val="43557F8F"/>
    <w:rsid w:val="6BEF2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qFormat/>
    <w:uiPriority w:val="0"/>
    <w:rPr>
      <w:rFonts w:hint="eastAsia" w:ascii="仿宋_GB2312" w:eastAsia="仿宋_GB2312" w:cs="仿宋_GB2312"/>
      <w:color w:val="000000"/>
      <w:sz w:val="24"/>
      <w:szCs w:val="24"/>
      <w:u w:val="none"/>
    </w:rPr>
  </w:style>
  <w:style w:type="character" w:customStyle="1" w:styleId="5">
    <w:name w:val="font11"/>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lenovo</dc:creator>
  <cp:lastModifiedBy>和力</cp:lastModifiedBy>
  <dcterms:modified xsi:type="dcterms:W3CDTF">2026-04-30T14:25:51Z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97973C6709FA05A1BCF5F269D9C15A0E_42</vt:lpwstr>
  </property>
</Properties>
</file>