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附件1</w:t>
      </w:r>
    </w:p>
    <w:p>
      <w:pPr>
        <w:widowControl/>
        <w:spacing w:line="640" w:lineRule="exact"/>
        <w:jc w:val="center"/>
        <w:rPr>
          <w:rFonts w:hint="eastAsia" w:ascii="方正小标宋简体" w:hAnsi="宋体" w:eastAsia="方正小标宋简体" w:cs="宋体"/>
          <w:color w:val="000000"/>
          <w:kern w:val="0"/>
          <w:sz w:val="44"/>
          <w:szCs w:val="44"/>
        </w:rPr>
      </w:pPr>
    </w:p>
    <w:p>
      <w:pPr>
        <w:widowControl/>
        <w:spacing w:line="600"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北京市第五批清理规范行政许可等</w:t>
      </w:r>
    </w:p>
    <w:p>
      <w:pPr>
        <w:widowControl/>
        <w:spacing w:line="600"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中介服务事项目录</w:t>
      </w:r>
    </w:p>
    <w:p>
      <w:pPr>
        <w:widowControl/>
        <w:spacing w:line="600" w:lineRule="exact"/>
        <w:jc w:val="center"/>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(共计39项)</w:t>
      </w:r>
    </w:p>
    <w:p>
      <w:pPr>
        <w:widowControl/>
        <w:spacing w:line="560" w:lineRule="exact"/>
        <w:jc w:val="center"/>
        <w:rPr>
          <w:rFonts w:hint="eastAsia" w:ascii="楷体_GB2312" w:hAnsi="楷体_GB2312" w:eastAsia="楷体_GB2312" w:cs="楷体_GB2312"/>
          <w:color w:val="000000"/>
          <w:kern w:val="0"/>
          <w:sz w:val="32"/>
          <w:szCs w:val="32"/>
        </w:rPr>
      </w:pPr>
    </w:p>
    <w:tbl>
      <w:tblPr>
        <w:tblStyle w:val="3"/>
        <w:tblW w:w="8809" w:type="dxa"/>
        <w:jc w:val="center"/>
        <w:tblInd w:w="66" w:type="dxa"/>
        <w:tblLayout w:type="fixed"/>
        <w:tblCellMar>
          <w:top w:w="0" w:type="dxa"/>
          <w:left w:w="0" w:type="dxa"/>
          <w:bottom w:w="0" w:type="dxa"/>
          <w:right w:w="0" w:type="dxa"/>
        </w:tblCellMar>
      </w:tblPr>
      <w:tblGrid>
        <w:gridCol w:w="501"/>
        <w:gridCol w:w="1276"/>
        <w:gridCol w:w="1559"/>
        <w:gridCol w:w="567"/>
        <w:gridCol w:w="567"/>
        <w:gridCol w:w="1134"/>
        <w:gridCol w:w="3205"/>
      </w:tblGrid>
      <w:tr>
        <w:tblPrEx>
          <w:tblLayout w:type="fixed"/>
          <w:tblCellMar>
            <w:top w:w="0" w:type="dxa"/>
            <w:left w:w="0" w:type="dxa"/>
            <w:bottom w:w="0" w:type="dxa"/>
            <w:right w:w="0" w:type="dxa"/>
          </w:tblCellMar>
        </w:tblPrEx>
        <w:trPr>
          <w:cantSplit/>
          <w:trHeight w:val="625" w:hRule="atLeast"/>
          <w:tblHeader/>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黑体" w:hAnsi="黑体" w:eastAsia="黑体" w:cs="黑体"/>
                <w:color w:val="000000"/>
                <w:kern w:val="0"/>
                <w:sz w:val="24"/>
                <w:szCs w:val="24"/>
                <w:lang w:bidi="ar"/>
              </w:rPr>
              <w:t>序号</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中介服务</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事项名称</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涉及的政务服务事项名称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事项类型</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办理部门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中介服务</w:t>
            </w:r>
            <w:r>
              <w:rPr>
                <w:rFonts w:hint="eastAsia" w:ascii="黑体" w:hAnsi="宋体" w:eastAsia="黑体" w:cs="黑体"/>
                <w:color w:val="000000"/>
                <w:kern w:val="0"/>
                <w:sz w:val="24"/>
                <w:szCs w:val="24"/>
                <w:lang w:bidi="ar"/>
              </w:rPr>
              <w:br w:type="textWrapping"/>
            </w:r>
            <w:r>
              <w:rPr>
                <w:rFonts w:hint="eastAsia" w:ascii="黑体" w:hAnsi="宋体" w:eastAsia="黑体" w:cs="黑体"/>
                <w:color w:val="000000"/>
                <w:kern w:val="0"/>
                <w:sz w:val="24"/>
                <w:szCs w:val="24"/>
                <w:lang w:bidi="ar"/>
              </w:rPr>
              <w:t>实施机构</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黑体" w:hAnsi="宋体" w:eastAsia="黑体" w:cs="黑体"/>
                <w:color w:val="000000"/>
                <w:sz w:val="24"/>
                <w:szCs w:val="24"/>
              </w:rPr>
            </w:pPr>
            <w:r>
              <w:rPr>
                <w:rFonts w:hint="eastAsia" w:ascii="黑体" w:hAnsi="宋体" w:eastAsia="黑体" w:cs="黑体"/>
                <w:color w:val="000000"/>
                <w:kern w:val="0"/>
                <w:sz w:val="24"/>
                <w:szCs w:val="24"/>
                <w:lang w:bidi="ar"/>
              </w:rPr>
              <w:t>处理意见</w:t>
            </w:r>
          </w:p>
        </w:tc>
      </w:tr>
      <w:tr>
        <w:tblPrEx>
          <w:tblLayout w:type="fixed"/>
          <w:tblCellMar>
            <w:top w:w="0" w:type="dxa"/>
            <w:left w:w="0" w:type="dxa"/>
            <w:bottom w:w="0" w:type="dxa"/>
            <w:right w:w="0" w:type="dxa"/>
          </w:tblCellMar>
        </w:tblPrEx>
        <w:trPr>
          <w:cantSpli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出具高新技术成果转化项目专项审计报告</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高新技术成果转化项目认定</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科学技术部门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不再要求申请人提供审计报告，改由请申请人提供自行编制财务管理情况报告，建立投诉举报机制，严厉查处材料弄虚作假等违规行为，加强事中事后监管</w:t>
            </w:r>
          </w:p>
        </w:tc>
      </w:tr>
      <w:tr>
        <w:tblPrEx>
          <w:tblLayout w:type="fixed"/>
          <w:tblCellMar>
            <w:top w:w="0" w:type="dxa"/>
            <w:left w:w="0" w:type="dxa"/>
            <w:bottom w:w="0" w:type="dxa"/>
            <w:right w:w="0" w:type="dxa"/>
          </w:tblCellMar>
        </w:tblPrEx>
        <w:trPr>
          <w:cantSpli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出具企业近三年各年度的财务审计报告</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高新技术成果转化项目认定</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科学技术部门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不再要求申请人提供审计报告，改由请申请人提供自行编制财务管理情况报告，建立投诉举报机制，严厉查处材料弄虚作假等违规行为，加强事中事后监管</w:t>
            </w:r>
          </w:p>
        </w:tc>
      </w:tr>
      <w:tr>
        <w:tblPrEx>
          <w:tblLayout w:type="fixed"/>
          <w:tblCellMar>
            <w:top w:w="0" w:type="dxa"/>
            <w:left w:w="0" w:type="dxa"/>
            <w:bottom w:w="0" w:type="dxa"/>
            <w:right w:w="0" w:type="dxa"/>
          </w:tblCellMar>
        </w:tblPrEx>
        <w:trPr>
          <w:cantSpli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出具经鉴证的企业上一会计年度财务会计报告</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技术先进型服务企业认定</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科学技术部门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不再要求申请人提供审计报告，改由请申请人提供自行编制财务管理情况报告，建立投诉举报机制，严厉查处材料弄虚作假等违规行为，加强事中事后监管</w:t>
            </w:r>
          </w:p>
        </w:tc>
      </w:tr>
      <w:tr>
        <w:tblPrEx>
          <w:tblLayout w:type="fixed"/>
          <w:tblCellMar>
            <w:top w:w="0" w:type="dxa"/>
            <w:left w:w="0" w:type="dxa"/>
            <w:bottom w:w="0" w:type="dxa"/>
            <w:right w:w="0" w:type="dxa"/>
          </w:tblCellMar>
        </w:tblPrEx>
        <w:trPr>
          <w:cantSpli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4</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出具近三个会计年度财务审计报告</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北京市企业科技研究开发机构认定</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科学技术部门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不再要求申请人提供审计报告，改由请申请人提供自行编制财务管理情况报告，建立投诉举报机制，严厉查处材料弄虚作假等违规行为，加强事中事后监管</w:t>
            </w:r>
          </w:p>
        </w:tc>
      </w:tr>
      <w:tr>
        <w:tblPrEx>
          <w:tblLayout w:type="fixed"/>
          <w:tblCellMar>
            <w:top w:w="0" w:type="dxa"/>
            <w:left w:w="0" w:type="dxa"/>
            <w:bottom w:w="0" w:type="dxa"/>
            <w:right w:w="0" w:type="dxa"/>
          </w:tblCellMar>
        </w:tblPrEx>
        <w:trPr>
          <w:cantSpli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5</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出具近三年研究开发经费专项审计报告</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北京市企业科技研究开发机构认定</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科学技术部门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不再要求申请人提供审计报告，改由请申请人提供自行编制财务管理情况报告，建立投诉举报机制，严厉查处材料弄虚作假等违规行为，加强事中事后监管</w:t>
            </w:r>
          </w:p>
        </w:tc>
      </w:tr>
      <w:tr>
        <w:tblPrEx>
          <w:tblLayout w:type="fixed"/>
          <w:tblCellMar>
            <w:top w:w="0" w:type="dxa"/>
            <w:left w:w="0" w:type="dxa"/>
            <w:bottom w:w="0" w:type="dxa"/>
            <w:right w:w="0" w:type="dxa"/>
          </w:tblCellMar>
        </w:tblPrEx>
        <w:trPr>
          <w:cantSplit/>
          <w:trHeight w:val="1888" w:hRule="atLeas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6</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出具上一年度技术性收入专项审计报告</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北京市企业科技研究开发机构认定</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科学技术部门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不再要求申请人提供审计报告，改由请申请人提供自行编制财务管理情况报告，建立投诉举报机制，严厉查处材料弄虚作假等违规行为，加强事中事后监管</w:t>
            </w:r>
          </w:p>
        </w:tc>
      </w:tr>
      <w:tr>
        <w:tblPrEx>
          <w:tblLayout w:type="fixed"/>
          <w:tblCellMar>
            <w:top w:w="0" w:type="dxa"/>
            <w:left w:w="0" w:type="dxa"/>
            <w:bottom w:w="0" w:type="dxa"/>
            <w:right w:w="0" w:type="dxa"/>
          </w:tblCellMar>
        </w:tblPrEx>
        <w:trPr>
          <w:cantSplit/>
          <w:trHeight w:val="1971" w:hRule="atLeas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7</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提供经会计师事务所出具的审计报告</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省级科技类民办非企业单位进口科教用品免税资格审核</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科学技术部门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不再要求申请人提供审计报告，改由请申请人提供自行编制财务管理情况报告，建立投诉举报机制，严厉查处材料弄虚作假等违规行为，加强事中事后监管</w:t>
            </w:r>
          </w:p>
        </w:tc>
      </w:tr>
      <w:tr>
        <w:tblPrEx>
          <w:tblLayout w:type="fixed"/>
          <w:tblCellMar>
            <w:top w:w="0" w:type="dxa"/>
            <w:left w:w="0" w:type="dxa"/>
            <w:bottom w:w="0" w:type="dxa"/>
            <w:right w:w="0" w:type="dxa"/>
          </w:tblCellMar>
        </w:tblPrEx>
        <w:trPr>
          <w:cantSplit/>
          <w:trHeight w:val="1390" w:hRule="atLeas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8</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出具审计报告</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北京市企业技术中心建设评价</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经济和信息化部门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不再要求申请人出具审计报告。改由申请单位承诺，审批部门委托第三方对申请材料进行初评核验</w:t>
            </w:r>
          </w:p>
        </w:tc>
      </w:tr>
      <w:tr>
        <w:tblPrEx>
          <w:tblLayout w:type="fixed"/>
          <w:tblCellMar>
            <w:top w:w="0" w:type="dxa"/>
            <w:left w:w="0" w:type="dxa"/>
            <w:bottom w:w="0" w:type="dxa"/>
            <w:right w:w="0" w:type="dxa"/>
          </w:tblCellMar>
        </w:tblPrEx>
        <w:trPr>
          <w:cantSplit/>
          <w:trHeight w:val="1830" w:hRule="atLeas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9</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出具近期体检表</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失业人员新建档案服务</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公共服务</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人力资源和社会保障部门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指定医院</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不再要求失业人员出具近期体检表，根据《干部档案工作条例》和《企业职工档案管理工作规定》，事项办理过程中不再提交体检表</w:t>
            </w:r>
          </w:p>
        </w:tc>
      </w:tr>
      <w:tr>
        <w:tblPrEx>
          <w:tblLayout w:type="fixed"/>
          <w:tblCellMar>
            <w:top w:w="0" w:type="dxa"/>
            <w:left w:w="0" w:type="dxa"/>
            <w:bottom w:w="0" w:type="dxa"/>
            <w:right w:w="0" w:type="dxa"/>
          </w:tblCellMar>
        </w:tblPrEx>
        <w:trPr>
          <w:cantSplit/>
          <w:trHeight w:val="1678" w:hRule="atLeas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10</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建设用地勘测定界技术报告书及勘测定界图编制</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征收集体所有土地批准</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具有相应资质的机构</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pacing w:val="-11"/>
                <w:kern w:val="0"/>
                <w:sz w:val="24"/>
                <w:szCs w:val="24"/>
                <w:lang w:bidi="ar"/>
              </w:rPr>
              <w:t>该事项对应的行政审批事项已转为政府内部事项，不再面向社会办理</w:t>
            </w:r>
          </w:p>
        </w:tc>
      </w:tr>
      <w:tr>
        <w:tblPrEx>
          <w:tblLayout w:type="fixed"/>
          <w:tblCellMar>
            <w:top w:w="0" w:type="dxa"/>
            <w:left w:w="0" w:type="dxa"/>
            <w:bottom w:w="0" w:type="dxa"/>
            <w:right w:w="0" w:type="dxa"/>
          </w:tblCellMar>
        </w:tblPrEx>
        <w:trPr>
          <w:cantSplit/>
          <w:trHeight w:val="1524" w:hRule="atLeas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11</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建设用地勘测定界技术报告书及勘测定界图编制</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农用地转为建设用地批准</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规划和自然资源部门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具有相应资质的机构</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pacing w:val="-11"/>
                <w:kern w:val="0"/>
                <w:sz w:val="24"/>
                <w:szCs w:val="24"/>
                <w:lang w:bidi="ar"/>
              </w:rPr>
              <w:t>该事项对应的行政审批事项已转为政府内部事项，不再面向社会办理</w:t>
            </w:r>
          </w:p>
        </w:tc>
      </w:tr>
      <w:tr>
        <w:tblPrEx>
          <w:tblLayout w:type="fixed"/>
          <w:tblCellMar>
            <w:top w:w="0" w:type="dxa"/>
            <w:left w:w="0" w:type="dxa"/>
            <w:bottom w:w="0" w:type="dxa"/>
            <w:right w:w="0" w:type="dxa"/>
          </w:tblCellMar>
        </w:tblPrEx>
        <w:trPr>
          <w:cantSplit/>
          <w:trHeight w:val="1545" w:hRule="atLeas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12</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房地产估价机构资质证书作废声明</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房地产估价机构备案</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住房和城乡建设部门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公众媒体</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不再要求申请人在公众媒体上发布房地产估价机构备案所需的房地产估价机构资质证书作废声明，改由申请人告知审批部门，审批部门在其官网发布</w:t>
            </w:r>
          </w:p>
        </w:tc>
      </w:tr>
      <w:tr>
        <w:tblPrEx>
          <w:tblLayout w:type="fixed"/>
          <w:tblCellMar>
            <w:top w:w="0" w:type="dxa"/>
            <w:left w:w="0" w:type="dxa"/>
            <w:bottom w:w="0" w:type="dxa"/>
            <w:right w:w="0" w:type="dxa"/>
          </w:tblCellMar>
        </w:tblPrEx>
        <w:trPr>
          <w:cantSpli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13</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房地产开发企业一级资质证书作废声明</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房地产开发企业一级资质核定初审</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住房和城乡建设部门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新闻媒体</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不再要求申请人在公众媒体上发布房地产开发企业一级资质变更初审所需房地产开发企业一级资质证书作废申明，改由申请人向审批部门作出书面承诺，审批部门开展事中事后监管</w:t>
            </w:r>
          </w:p>
        </w:tc>
      </w:tr>
      <w:tr>
        <w:tblPrEx>
          <w:tblLayout w:type="fixed"/>
          <w:tblCellMar>
            <w:top w:w="0" w:type="dxa"/>
            <w:left w:w="0" w:type="dxa"/>
            <w:bottom w:w="0" w:type="dxa"/>
            <w:right w:w="0" w:type="dxa"/>
          </w:tblCellMar>
        </w:tblPrEx>
        <w:trPr>
          <w:cantSplit/>
          <w:trHeight w:val="2028" w:hRule="atLeas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14</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编制鉴定报告</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商品住宅专项维修资金使用审核（资金划转业主大会之前）</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住房和城乡建设部门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专业检测鉴定、造价咨询机构</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不再要求出具维修鉴定报告，改由审批部门依据《北京市物业管理条例》的相关规定，通过抽检核查、定期报告等方式，加强对本市住宅专项维修资金的筹集、管理和使用的指导和监督</w:t>
            </w:r>
          </w:p>
        </w:tc>
      </w:tr>
      <w:tr>
        <w:tblPrEx>
          <w:tblLayout w:type="fixed"/>
          <w:tblCellMar>
            <w:top w:w="0" w:type="dxa"/>
            <w:left w:w="0" w:type="dxa"/>
            <w:bottom w:w="0" w:type="dxa"/>
            <w:right w:w="0" w:type="dxa"/>
          </w:tblCellMar>
        </w:tblPrEx>
        <w:trPr>
          <w:cantSplit/>
          <w:trHeight w:val="2115" w:hRule="atLeas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15</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编制鉴定报告</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商品住宅专项维修资金使用备案（资金划转业主大会之后）</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住房和城乡建设部门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专业检测鉴定、造价咨询机构</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不再要求出具维修鉴定报告，改由审批部门依据《北京市物业管理条例》的相关规定，通过抽检核查、定期报告等方式，加强对本市住宅专项维修资金的筹集、管理和使用的指导和监督</w:t>
            </w:r>
          </w:p>
        </w:tc>
      </w:tr>
      <w:tr>
        <w:tblPrEx>
          <w:tblLayout w:type="fixed"/>
          <w:tblCellMar>
            <w:top w:w="0" w:type="dxa"/>
            <w:left w:w="0" w:type="dxa"/>
            <w:bottom w:w="0" w:type="dxa"/>
            <w:right w:w="0" w:type="dxa"/>
          </w:tblCellMar>
        </w:tblPrEx>
        <w:trPr>
          <w:cantSplit/>
          <w:trHeight w:val="1536" w:hRule="atLeas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16</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出具单体工程附着式升降脚手架检验检测报告</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附着式升降脚手架使用登记</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公共服务</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hint="eastAsia"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住房和城乡建设部门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第三方检验检测单位</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不再要求申请人出具单体工程附着式升降脚手架检验检测报告，改由审批部门采用定期抽查检测方式，加强事中事后监管</w:t>
            </w:r>
          </w:p>
        </w:tc>
      </w:tr>
      <w:tr>
        <w:tblPrEx>
          <w:tblLayout w:type="fixed"/>
          <w:tblCellMar>
            <w:top w:w="0" w:type="dxa"/>
            <w:left w:w="0" w:type="dxa"/>
            <w:bottom w:w="0" w:type="dxa"/>
            <w:right w:w="0" w:type="dxa"/>
          </w:tblCellMar>
        </w:tblPrEx>
        <w:trPr>
          <w:cantSpli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17</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出具从业资历公证书</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国际海上运输业务及海运辅助业务经营初审（经营国际船舶运输业务初审）</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交通部门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不再要求申请人出具从业资历的公证书，改由申请人承诺其提供的从业资历真实有效，定期开展事后核查</w:t>
            </w:r>
          </w:p>
        </w:tc>
      </w:tr>
      <w:tr>
        <w:tblPrEx>
          <w:tblLayout w:type="fixed"/>
          <w:tblCellMar>
            <w:top w:w="0" w:type="dxa"/>
            <w:left w:w="0" w:type="dxa"/>
            <w:bottom w:w="0" w:type="dxa"/>
            <w:right w:w="0" w:type="dxa"/>
          </w:tblCellMar>
        </w:tblPrEx>
        <w:trPr>
          <w:cantSplit/>
          <w:trHeight w:val="1257" w:hRule="atLeas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18</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发布遗失公告</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补办《国际船舶运输经营许可证》</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交通部门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公众媒体</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不再要求申请人在公众媒体上发布遗失公告，改由由当事人自行出具遗失情况说明，定期开展事后核查</w:t>
            </w:r>
          </w:p>
        </w:tc>
      </w:tr>
      <w:tr>
        <w:tblPrEx>
          <w:tblLayout w:type="fixed"/>
          <w:tblCellMar>
            <w:top w:w="0" w:type="dxa"/>
            <w:left w:w="0" w:type="dxa"/>
            <w:bottom w:w="0" w:type="dxa"/>
            <w:right w:w="0" w:type="dxa"/>
          </w:tblCellMar>
        </w:tblPrEx>
        <w:trPr>
          <w:cantSplit/>
          <w:trHeight w:val="1260" w:hRule="atLeas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19</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出具从业资历公证书</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延长《国际船舶运输经营许可证》有效期</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交通部门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不再要求申请人出具从业资历的公证书，改由申请人承诺其提供的从业资历真实有效，定期开展事后核查</w:t>
            </w:r>
          </w:p>
        </w:tc>
      </w:tr>
      <w:tr>
        <w:tblPrEx>
          <w:tblLayout w:type="fixed"/>
          <w:tblCellMar>
            <w:top w:w="0" w:type="dxa"/>
            <w:left w:w="0" w:type="dxa"/>
            <w:bottom w:w="0" w:type="dxa"/>
            <w:right w:w="0" w:type="dxa"/>
          </w:tblCellMar>
        </w:tblPrEx>
        <w:trPr>
          <w:cantSplit/>
          <w:trHeight w:val="1746" w:hRule="atLeas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20</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编制作业后第三方监测总结报告</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对轨道交通安全保护区范围施工作业后评估结果进行备案</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交通部门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具有资质机构</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不再要求申请人编制作业后第三方监测总结报告，改由要求提供监理单位的监理工作总结和轨道运营单位自行编制的安全评估报告，加大事后抽查力度</w:t>
            </w:r>
          </w:p>
        </w:tc>
      </w:tr>
      <w:tr>
        <w:tblPrEx>
          <w:tblLayout w:type="fixed"/>
          <w:tblCellMar>
            <w:top w:w="0" w:type="dxa"/>
            <w:left w:w="0" w:type="dxa"/>
            <w:bottom w:w="0" w:type="dxa"/>
            <w:right w:w="0" w:type="dxa"/>
          </w:tblCellMar>
        </w:tblPrEx>
        <w:trPr>
          <w:cantSplit/>
          <w:trHeight w:val="1813" w:hRule="atLeas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21</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出具调整运营计划可行性评估报告</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轨道交通运营计划调整的批准</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交通部门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具有资质机构</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不再要求申请人出具调整运营计划可行性评估报告，改由审批部门根据相关条例要求，依据单位上报的工作报告内容，定期组织抽查，加强事中事后监管</w:t>
            </w:r>
          </w:p>
        </w:tc>
      </w:tr>
      <w:tr>
        <w:tblPrEx>
          <w:tblLayout w:type="fixed"/>
          <w:tblCellMar>
            <w:top w:w="0" w:type="dxa"/>
            <w:left w:w="0" w:type="dxa"/>
            <w:bottom w:w="0" w:type="dxa"/>
            <w:right w:w="0" w:type="dxa"/>
          </w:tblCellMar>
        </w:tblPrEx>
        <w:trPr>
          <w:cantSplit/>
          <w:trHeight w:val="1541" w:hRule="atLeas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22</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出具停运作业可行性评估报告</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轨道交通停运作业的批准</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交通部门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具有资质机构</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不再要求申请人出具停运可行性报告，改由审批部门根据相关条例要求，依据单位上报的工作报告内容，定期组织抽查，加强事中事后监管</w:t>
            </w:r>
          </w:p>
        </w:tc>
      </w:tr>
      <w:tr>
        <w:tblPrEx>
          <w:tblLayout w:type="fixed"/>
          <w:tblCellMar>
            <w:top w:w="0" w:type="dxa"/>
            <w:left w:w="0" w:type="dxa"/>
            <w:bottom w:w="0" w:type="dxa"/>
            <w:right w:w="0" w:type="dxa"/>
          </w:tblCellMar>
        </w:tblPrEx>
        <w:trPr>
          <w:cantSplit/>
          <w:trHeight w:val="1266" w:hRule="atLeas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23</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防洪工程设施设计方案编制</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建设项目水影响评价审查</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水务部门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具有相应资质的勘测设计单位</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该事项对应的行政审批事项取消</w:t>
            </w:r>
          </w:p>
        </w:tc>
      </w:tr>
      <w:tr>
        <w:tblPrEx>
          <w:tblLayout w:type="fixed"/>
          <w:tblCellMar>
            <w:top w:w="0" w:type="dxa"/>
            <w:left w:w="0" w:type="dxa"/>
            <w:bottom w:w="0" w:type="dxa"/>
            <w:right w:w="0" w:type="dxa"/>
          </w:tblCellMar>
        </w:tblPrEx>
        <w:trPr>
          <w:cantSpli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24</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提交污水排入排水管网许可证核发所需的水质检测报告</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城镇污水排入排水管网许可（排水许可）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水务部门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具有计量认证资质的水质检测机构</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不再要求申请人提供城镇污水排入排水管网许可（排水许可）所需的水质检测报告，改由申请人向审批部门作出书面承诺，审批部门加强事中事后监管</w:t>
            </w:r>
          </w:p>
        </w:tc>
      </w:tr>
      <w:tr>
        <w:tblPrEx>
          <w:tblLayout w:type="fixed"/>
          <w:tblCellMar>
            <w:top w:w="0" w:type="dxa"/>
            <w:left w:w="0" w:type="dxa"/>
            <w:bottom w:w="0" w:type="dxa"/>
            <w:right w:w="0" w:type="dxa"/>
          </w:tblCellMar>
        </w:tblPrEx>
        <w:trPr>
          <w:cantSpli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25</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6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出具单一饲料、浓缩饲料、配合饲料、精料补充料和添加剂预混合饲料产品主成分指标检测方法验证结论</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饲料、饲料添加剂生产许可证审批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农业农村部门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具有相应资质的检验机构</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申请人可按要求自行开展主成分指标检测方法验证，也可委托第三方检验机构检验或出具评价报告，审批部门不得以任何形式要求申请人必须委托特定中介机构提供服务</w:t>
            </w:r>
          </w:p>
        </w:tc>
      </w:tr>
      <w:tr>
        <w:tblPrEx>
          <w:tblLayout w:type="fixed"/>
          <w:tblCellMar>
            <w:top w:w="0" w:type="dxa"/>
            <w:left w:w="0" w:type="dxa"/>
            <w:bottom w:w="0" w:type="dxa"/>
            <w:right w:w="0" w:type="dxa"/>
          </w:tblCellMar>
        </w:tblPrEx>
        <w:trPr>
          <w:cantSpli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26</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发布的组织登记证书遗失公告</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向农村集体经济组织发放组织登记证书</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农业农村部门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公众媒体</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不再要求申请人在报刊发布组织登记证书遗失公告，改由申请人告知审批部门，审批部门在其官网发布</w:t>
            </w:r>
          </w:p>
        </w:tc>
      </w:tr>
      <w:tr>
        <w:tblPrEx>
          <w:tblLayout w:type="fixed"/>
          <w:tblCellMar>
            <w:top w:w="0" w:type="dxa"/>
            <w:left w:w="0" w:type="dxa"/>
            <w:bottom w:w="0" w:type="dxa"/>
            <w:right w:w="0" w:type="dxa"/>
          </w:tblCellMar>
        </w:tblPrEx>
        <w:trPr>
          <w:cantSpli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27</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提交被并购境内公司上一财务年度的财务审计报告</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股权并购设立外商投资企业的审批（初审）</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商务部门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该事项对应的行政审批事项取消</w:t>
            </w:r>
          </w:p>
        </w:tc>
      </w:tr>
      <w:tr>
        <w:tblPrEx>
          <w:tblLayout w:type="fixed"/>
          <w:tblCellMar>
            <w:top w:w="0" w:type="dxa"/>
            <w:left w:w="0" w:type="dxa"/>
            <w:bottom w:w="0" w:type="dxa"/>
            <w:right w:w="0" w:type="dxa"/>
          </w:tblCellMar>
        </w:tblPrEx>
        <w:trPr>
          <w:cantSpli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28</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提交被并购境内有限责任公司的资产评估报告</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股权并购设立外商投资企业的审批（初审）</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商务部门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具有相应资质的资产评估机构</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该事项对应的行政审批事项取消</w:t>
            </w:r>
          </w:p>
        </w:tc>
      </w:tr>
      <w:tr>
        <w:tblPrEx>
          <w:tblLayout w:type="fixed"/>
          <w:tblCellMar>
            <w:top w:w="0" w:type="dxa"/>
            <w:left w:w="0" w:type="dxa"/>
            <w:bottom w:w="0" w:type="dxa"/>
            <w:right w:w="0" w:type="dxa"/>
          </w:tblCellMar>
        </w:tblPrEx>
        <w:trPr>
          <w:cantSplit/>
          <w:trHeight w:val="1725" w:hRule="atLeas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29</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出具母公司的资产负债表</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跨国公司在京地区总部认定</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商务部门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审计事务所</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申请人可按要求自行编制资产负债表或企业年报，也可委托审计事务所编制资产负债表或企业年报，审批部门不得以任何形式要求申请人必须委托特定中介机构提供服务</w:t>
            </w:r>
          </w:p>
        </w:tc>
      </w:tr>
      <w:tr>
        <w:tblPrEx>
          <w:tblLayout w:type="fixed"/>
          <w:tblCellMar>
            <w:top w:w="0" w:type="dxa"/>
            <w:left w:w="0" w:type="dxa"/>
            <w:bottom w:w="0" w:type="dxa"/>
            <w:right w:w="0" w:type="dxa"/>
          </w:tblCellMar>
        </w:tblPrEx>
        <w:trPr>
          <w:cantSplit/>
          <w:trHeight w:val="1836" w:hRule="atLeas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30</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申请护士执业注册需提交的6个月内健康体检证明</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护士执业注册</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卫生健康部门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相关医疗机构</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不再要求申请人提交申请护士执业注册所需的6个月内健康体检证明，改由用人单位按照人事管理相关规定进行体检，审批部门不再要求提交、不再重新审核</w:t>
            </w:r>
          </w:p>
        </w:tc>
      </w:tr>
      <w:tr>
        <w:tblPrEx>
          <w:tblLayout w:type="fixed"/>
          <w:tblCellMar>
            <w:top w:w="0" w:type="dxa"/>
            <w:left w:w="0" w:type="dxa"/>
            <w:bottom w:w="0" w:type="dxa"/>
            <w:right w:w="0" w:type="dxa"/>
          </w:tblCellMar>
        </w:tblPrEx>
        <w:trPr>
          <w:cantSplit/>
          <w:trHeight w:val="1819" w:hRule="atLeas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31</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提交申请公共场所卫生行政许可所需的卫生检验结果或评价报告</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公共场所卫生行政许可（含公共场所卫生许可新办、公共场所卫生许可延续）</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卫生健康部门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具有相应资质的检验机构</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申请人可按要求自行编制卫生评价报告，也可委托第三方检验机构检验或出具评价报告，审批部门不得以任何形式要求申请人必须委托特定中介机构提供服务</w:t>
            </w:r>
          </w:p>
        </w:tc>
      </w:tr>
      <w:tr>
        <w:tblPrEx>
          <w:tblLayout w:type="fixed"/>
          <w:tblCellMar>
            <w:top w:w="0" w:type="dxa"/>
            <w:left w:w="0" w:type="dxa"/>
            <w:bottom w:w="0" w:type="dxa"/>
            <w:right w:w="0" w:type="dxa"/>
          </w:tblCellMar>
        </w:tblPrEx>
        <w:trPr>
          <w:cantSplit/>
          <w:trHeight w:val="1264" w:hRule="atLeas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32</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出具联合办馆协议公证书</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博物馆设立备案</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其他行政权力</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文物部门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公证机构</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不再要求申请人出具联合办馆协议公证书，改由审批部门采用对协议执行情况进行抽查，加强事中事后监管</w:t>
            </w:r>
          </w:p>
        </w:tc>
      </w:tr>
      <w:tr>
        <w:tblPrEx>
          <w:tblLayout w:type="fixed"/>
          <w:tblCellMar>
            <w:top w:w="0" w:type="dxa"/>
            <w:left w:w="0" w:type="dxa"/>
            <w:bottom w:w="0" w:type="dxa"/>
            <w:right w:w="0" w:type="dxa"/>
          </w:tblCellMar>
        </w:tblPrEx>
        <w:trPr>
          <w:cantSplit/>
          <w:trHeight w:val="1523" w:hRule="atLeas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33</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出具股东近两年审计报告和近三年利润表</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本市交易场所在外地设立分支机构审批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金融监督管理部门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不再要求申请人出具股东近两年审计报告和近三年利润表</w:t>
            </w:r>
            <w:r>
              <w:rPr>
                <w:rFonts w:hint="eastAsia" w:ascii="仿宋_GB2312" w:hAnsi="宋体" w:cs="仿宋_GB2312"/>
                <w:color w:val="000000"/>
                <w:kern w:val="0"/>
                <w:sz w:val="24"/>
                <w:szCs w:val="24"/>
                <w:lang w:bidi="ar"/>
              </w:rPr>
              <w:t>，</w:t>
            </w:r>
            <w:r>
              <w:rPr>
                <w:rFonts w:hint="eastAsia" w:ascii="仿宋_GB2312" w:hAnsi="宋体" w:eastAsia="仿宋_GB2312" w:cs="仿宋_GB2312"/>
                <w:color w:val="000000"/>
                <w:kern w:val="0"/>
                <w:sz w:val="24"/>
                <w:szCs w:val="24"/>
                <w:lang w:bidi="ar"/>
              </w:rPr>
              <w:t>改由审批部门按照《北京市交易场所管理办法实施细则》的要求开展监管</w:t>
            </w:r>
          </w:p>
        </w:tc>
      </w:tr>
      <w:tr>
        <w:tblPrEx>
          <w:tblLayout w:type="fixed"/>
          <w:tblCellMar>
            <w:top w:w="0" w:type="dxa"/>
            <w:left w:w="0" w:type="dxa"/>
            <w:bottom w:w="0" w:type="dxa"/>
            <w:right w:w="0" w:type="dxa"/>
          </w:tblCellMar>
        </w:tblPrEx>
        <w:trPr>
          <w:cantSpli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34</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出具年度财务审计报告</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外地交易场所在本市设立分支机构审批</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行政确认</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金融监督管理部门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会计师事务所</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不再要求申请人出具年度财务审计报告</w:t>
            </w:r>
            <w:r>
              <w:rPr>
                <w:rFonts w:hint="eastAsia" w:ascii="仿宋_GB2312" w:hAnsi="宋体" w:cs="仿宋_GB2312"/>
                <w:color w:val="000000"/>
                <w:kern w:val="0"/>
                <w:sz w:val="24"/>
                <w:szCs w:val="24"/>
                <w:lang w:bidi="ar"/>
              </w:rPr>
              <w:t>，</w:t>
            </w:r>
            <w:r>
              <w:rPr>
                <w:rFonts w:hint="eastAsia" w:ascii="仿宋_GB2312" w:hAnsi="宋体" w:eastAsia="仿宋_GB2312" w:cs="仿宋_GB2312"/>
                <w:color w:val="000000"/>
                <w:kern w:val="0"/>
                <w:sz w:val="24"/>
                <w:szCs w:val="24"/>
                <w:lang w:bidi="ar"/>
              </w:rPr>
              <w:t>改由审批部门按照《北京市交易场所管理办法实施细则》的要求开展监管</w:t>
            </w:r>
          </w:p>
        </w:tc>
      </w:tr>
      <w:tr>
        <w:tblPrEx>
          <w:tblLayout w:type="fixed"/>
          <w:tblCellMar>
            <w:top w:w="0" w:type="dxa"/>
            <w:left w:w="0" w:type="dxa"/>
            <w:bottom w:w="0" w:type="dxa"/>
            <w:right w:w="0" w:type="dxa"/>
          </w:tblCellMar>
        </w:tblPrEx>
        <w:trPr>
          <w:cantSplit/>
          <w:trHeight w:val="2172" w:hRule="atLeas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35</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提交证明人防工程易地建设的资料（设计方案图纸和地质勘察报告）</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建设项目修建人民防空防护工程标准审查</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人民防空部门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具有相应资质的设计单位</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申请人可按要求自行编制证明人防工程易地建设的资料，也可委托具有相应资质的设计单位出具相关技术说明文件，审批部门不得以任何形式要求申请人必须委托特定中介机构提供服务</w:t>
            </w:r>
          </w:p>
        </w:tc>
      </w:tr>
      <w:tr>
        <w:tblPrEx>
          <w:tblLayout w:type="fixed"/>
          <w:tblCellMar>
            <w:top w:w="0" w:type="dxa"/>
            <w:left w:w="0" w:type="dxa"/>
            <w:bottom w:w="0" w:type="dxa"/>
            <w:right w:w="0" w:type="dxa"/>
          </w:tblCellMar>
        </w:tblPrEx>
        <w:trPr>
          <w:cantSplit/>
          <w:trHeight w:val="1252" w:hRule="atLeas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36</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提交受托方生产的连续三批药品的检验报告书</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药品生产企业接受委托生产药品批准</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药品监督管理部门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北京市药品检验所</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该事项对应的行政审批事项取消</w:t>
            </w:r>
          </w:p>
        </w:tc>
      </w:tr>
      <w:tr>
        <w:tblPrEx>
          <w:tblLayout w:type="fixed"/>
          <w:tblCellMar>
            <w:top w:w="0" w:type="dxa"/>
            <w:left w:w="0" w:type="dxa"/>
            <w:bottom w:w="0" w:type="dxa"/>
            <w:right w:w="0" w:type="dxa"/>
          </w:tblCellMar>
        </w:tblPrEx>
        <w:trPr>
          <w:cantSplit/>
          <w:trHeight w:val="2107" w:hRule="atLeast"/>
          <w:jc w:val="center"/>
        </w:trPr>
        <w:tc>
          <w:tcPr>
            <w:tcW w:w="501"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37</w:t>
            </w:r>
          </w:p>
        </w:tc>
        <w:tc>
          <w:tcPr>
            <w:tcW w:w="1276"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化妆品生产企业计量器具检定</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化妆品生产许可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药品监督管理部门</w:t>
            </w:r>
          </w:p>
        </w:tc>
        <w:tc>
          <w:tcPr>
            <w:tcW w:w="1134"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具有法定资质的检验机构</w:t>
            </w:r>
          </w:p>
        </w:tc>
        <w:tc>
          <w:tcPr>
            <w:tcW w:w="3205"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不再要求申请人进行化妆品生产许可所需的化妆品生产企业计量器具检定并提供检定报告书，改由审批部门根据《市场监管总局关于发布实施强制管理的计量器具目录的公告》等有关规定，加强事中事后监管</w:t>
            </w:r>
          </w:p>
        </w:tc>
      </w:tr>
      <w:tr>
        <w:tblPrEx>
          <w:tblLayout w:type="fixed"/>
          <w:tblCellMar>
            <w:top w:w="0" w:type="dxa"/>
            <w:left w:w="0" w:type="dxa"/>
            <w:bottom w:w="0" w:type="dxa"/>
            <w:right w:w="0" w:type="dxa"/>
          </w:tblCellMar>
        </w:tblPrEx>
        <w:trPr>
          <w:cantSplit/>
          <w:jc w:val="center"/>
        </w:trPr>
        <w:tc>
          <w:tcPr>
            <w:tcW w:w="501"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38</w:t>
            </w:r>
          </w:p>
        </w:tc>
        <w:tc>
          <w:tcPr>
            <w:tcW w:w="1276"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药品注册检验</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不改变药品内在质量的补充申请审批-变更直接接触药品的包装材料或者容器</w:t>
            </w:r>
          </w:p>
        </w:tc>
        <w:tc>
          <w:tcPr>
            <w:tcW w:w="567"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药品监督管理部门</w:t>
            </w:r>
          </w:p>
        </w:tc>
        <w:tc>
          <w:tcPr>
            <w:tcW w:w="1134"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中国食品药品检定研究院、北京市药品检验所</w:t>
            </w:r>
          </w:p>
        </w:tc>
        <w:tc>
          <w:tcPr>
            <w:tcW w:w="3205"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不再要求申请人进行国产药品注册审批（所列情形）所需的药品注册检验并提供检验报告，改审批部门委托药品检验机构实施检验</w:t>
            </w:r>
          </w:p>
        </w:tc>
      </w:tr>
      <w:tr>
        <w:tblPrEx>
          <w:tblLayout w:type="fixed"/>
          <w:tblCellMar>
            <w:top w:w="0" w:type="dxa"/>
            <w:left w:w="0" w:type="dxa"/>
            <w:bottom w:w="0" w:type="dxa"/>
            <w:right w:w="0" w:type="dxa"/>
          </w:tblCellMar>
        </w:tblPrEx>
        <w:trPr>
          <w:cantSplit/>
          <w:jc w:val="center"/>
        </w:trPr>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sz w:val="24"/>
                <w:szCs w:val="24"/>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不改变药品内在质量的补充申请审批-改变国内生产药品制剂的原料药产地</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32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r>
      <w:tr>
        <w:tblPrEx>
          <w:tblLayout w:type="fixed"/>
          <w:tblCellMar>
            <w:top w:w="0" w:type="dxa"/>
            <w:left w:w="0" w:type="dxa"/>
            <w:bottom w:w="0" w:type="dxa"/>
            <w:right w:w="0" w:type="dxa"/>
          </w:tblCellMar>
        </w:tblPrEx>
        <w:trPr>
          <w:cantSplit/>
          <w:jc w:val="center"/>
        </w:trPr>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sz w:val="24"/>
                <w:szCs w:val="24"/>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不改变药品内在质量的补充申请审批-国内药品生产企业内部改变药品生产场地</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32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r>
      <w:tr>
        <w:tblPrEx>
          <w:tblLayout w:type="fixed"/>
          <w:tblCellMar>
            <w:top w:w="0" w:type="dxa"/>
            <w:left w:w="0" w:type="dxa"/>
            <w:bottom w:w="0" w:type="dxa"/>
            <w:right w:w="0" w:type="dxa"/>
          </w:tblCellMar>
        </w:tblPrEx>
        <w:trPr>
          <w:cantSplit/>
          <w:jc w:val="center"/>
        </w:trPr>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sz w:val="24"/>
                <w:szCs w:val="24"/>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不改变药品内在质量的补充申请审批-其他(审批)</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32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r>
      <w:tr>
        <w:tblPrEx>
          <w:tblLayout w:type="fixed"/>
          <w:tblCellMar>
            <w:top w:w="0" w:type="dxa"/>
            <w:left w:w="0" w:type="dxa"/>
            <w:bottom w:w="0" w:type="dxa"/>
            <w:right w:w="0" w:type="dxa"/>
          </w:tblCellMar>
        </w:tblPrEx>
        <w:trPr>
          <w:cantSplit/>
          <w:jc w:val="center"/>
        </w:trPr>
        <w:tc>
          <w:tcPr>
            <w:tcW w:w="501"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39</w:t>
            </w:r>
          </w:p>
        </w:tc>
        <w:tc>
          <w:tcPr>
            <w:tcW w:w="1276"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医疗机构配制、调剂制剂注册检验</w:t>
            </w: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医疗机构制剂补充申请审批-变更/增加制剂规格                        </w:t>
            </w:r>
          </w:p>
        </w:tc>
        <w:tc>
          <w:tcPr>
            <w:tcW w:w="567"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行政许可</w:t>
            </w:r>
          </w:p>
        </w:tc>
        <w:tc>
          <w:tcPr>
            <w:tcW w:w="567"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药品监督管理部门</w:t>
            </w:r>
          </w:p>
        </w:tc>
        <w:tc>
          <w:tcPr>
            <w:tcW w:w="1134"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北京市药品检验所</w:t>
            </w:r>
          </w:p>
        </w:tc>
        <w:tc>
          <w:tcPr>
            <w:tcW w:w="3205" w:type="dxa"/>
            <w:vMerge w:val="restart"/>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不再要求申请人进行医疗机构制剂注册审批（所列子项）所需的医疗机构配制、调剂制剂注册检验并提供检验报告，改由由审批部门委托药品检验机构在申请受理后10日内组织现场考察，进行样品检验和质量标准技术复核</w:t>
            </w:r>
          </w:p>
        </w:tc>
      </w:tr>
      <w:tr>
        <w:tblPrEx>
          <w:tblLayout w:type="fixed"/>
          <w:tblCellMar>
            <w:top w:w="0" w:type="dxa"/>
            <w:left w:w="0" w:type="dxa"/>
            <w:bottom w:w="0" w:type="dxa"/>
            <w:right w:w="0" w:type="dxa"/>
          </w:tblCellMar>
        </w:tblPrEx>
        <w:trPr>
          <w:cantSplit/>
          <w:jc w:val="center"/>
        </w:trPr>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sz w:val="24"/>
                <w:szCs w:val="24"/>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医疗机构制剂补充申请审批-变更制剂的辅料                      </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32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r>
      <w:tr>
        <w:tblPrEx>
          <w:tblLayout w:type="fixed"/>
          <w:tblCellMar>
            <w:top w:w="0" w:type="dxa"/>
            <w:left w:w="0" w:type="dxa"/>
            <w:bottom w:w="0" w:type="dxa"/>
            <w:right w:w="0" w:type="dxa"/>
          </w:tblCellMar>
        </w:tblPrEx>
        <w:trPr>
          <w:cantSplit/>
          <w:jc w:val="center"/>
        </w:trPr>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sz w:val="24"/>
                <w:szCs w:val="24"/>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医疗机构制剂补充申请审批-变更制剂的配制工艺                    </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32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r>
      <w:tr>
        <w:tblPrEx>
          <w:tblLayout w:type="fixed"/>
          <w:tblCellMar>
            <w:top w:w="0" w:type="dxa"/>
            <w:left w:w="0" w:type="dxa"/>
            <w:bottom w:w="0" w:type="dxa"/>
            <w:right w:w="0" w:type="dxa"/>
          </w:tblCellMar>
        </w:tblPrEx>
        <w:trPr>
          <w:cantSplit/>
          <w:jc w:val="center"/>
        </w:trPr>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sz w:val="24"/>
                <w:szCs w:val="24"/>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 xml:space="preserve">医疗机构制剂补充申请审批-修改制剂的质量标准                     </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32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r>
      <w:tr>
        <w:tblPrEx>
          <w:tblLayout w:type="fixed"/>
          <w:tblCellMar>
            <w:top w:w="0" w:type="dxa"/>
            <w:left w:w="0" w:type="dxa"/>
            <w:bottom w:w="0" w:type="dxa"/>
            <w:right w:w="0" w:type="dxa"/>
          </w:tblCellMar>
        </w:tblPrEx>
        <w:trPr>
          <w:cantSplit/>
          <w:jc w:val="center"/>
        </w:trPr>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sz w:val="24"/>
                <w:szCs w:val="24"/>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医疗机构制剂补充申请审批-替代或减去制剂标准处方中的毒性药材或处于濒危状态的药材</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32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r>
      <w:tr>
        <w:tblPrEx>
          <w:tblLayout w:type="fixed"/>
          <w:tblCellMar>
            <w:top w:w="0" w:type="dxa"/>
            <w:left w:w="0" w:type="dxa"/>
            <w:bottom w:w="0" w:type="dxa"/>
            <w:right w:w="0" w:type="dxa"/>
          </w:tblCellMar>
        </w:tblPrEx>
        <w:trPr>
          <w:cantSplit/>
          <w:jc w:val="center"/>
        </w:trPr>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sz w:val="24"/>
                <w:szCs w:val="24"/>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医疗机构制剂注册审批</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32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r>
      <w:tr>
        <w:tblPrEx>
          <w:tblLayout w:type="fixed"/>
          <w:tblCellMar>
            <w:top w:w="0" w:type="dxa"/>
            <w:left w:w="0" w:type="dxa"/>
            <w:bottom w:w="0" w:type="dxa"/>
            <w:right w:w="0" w:type="dxa"/>
          </w:tblCellMar>
        </w:tblPrEx>
        <w:trPr>
          <w:cantSplit/>
          <w:jc w:val="center"/>
        </w:trPr>
        <w:tc>
          <w:tcPr>
            <w:tcW w:w="50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仿宋_GB2312" w:eastAsia="仿宋_GB2312" w:cs="仿宋_GB2312"/>
                <w:color w:val="000000"/>
                <w:sz w:val="24"/>
                <w:szCs w:val="24"/>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1559"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pPr>
              <w:widowControl/>
              <w:spacing w:line="280" w:lineRule="exact"/>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医疗机构制剂补充申请审批-其他</w:t>
            </w: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c>
          <w:tcPr>
            <w:tcW w:w="320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仿宋_GB2312"/>
                <w:color w:val="000000"/>
                <w:sz w:val="24"/>
                <w:szCs w:val="24"/>
              </w:rPr>
            </w:pPr>
          </w:p>
        </w:tc>
      </w:tr>
    </w:tbl>
    <w:p>
      <w:pPr>
        <w:widowControl/>
        <w:spacing w:line="560" w:lineRule="exact"/>
        <w:jc w:val="left"/>
        <w:textAlignment w:val="center"/>
        <w:rPr>
          <w:rFonts w:hint="eastAsia" w:ascii="黑体" w:hAnsi="黑体" w:eastAsia="黑体" w:cs="黑体"/>
          <w:color w:val="000000"/>
          <w:kern w:val="0"/>
          <w:sz w:val="32"/>
          <w:szCs w:val="32"/>
          <w:lang w:bidi="ar"/>
        </w:rPr>
      </w:pPr>
    </w:p>
    <w:p>
      <w:pPr>
        <w:widowControl/>
        <w:spacing w:line="560" w:lineRule="exact"/>
        <w:jc w:val="left"/>
        <w:textAlignment w:val="center"/>
        <w:rPr>
          <w:rFonts w:hint="eastAsia" w:ascii="黑体" w:hAnsi="黑体" w:eastAsia="黑体" w:cs="黑体"/>
          <w:color w:val="000000"/>
          <w:kern w:val="0"/>
          <w:sz w:val="32"/>
          <w:szCs w:val="32"/>
          <w:lang w:bidi="ar"/>
        </w:rPr>
      </w:pPr>
    </w:p>
    <w:p>
      <w:pPr>
        <w:widowControl/>
        <w:spacing w:line="560" w:lineRule="exact"/>
        <w:jc w:val="left"/>
        <w:textAlignment w:val="center"/>
        <w:rPr>
          <w:rFonts w:hint="eastAsia" w:ascii="黑体" w:hAnsi="黑体" w:eastAsia="黑体" w:cs="黑体"/>
          <w:color w:val="000000"/>
          <w:kern w:val="0"/>
          <w:sz w:val="32"/>
          <w:szCs w:val="32"/>
          <w:lang w:bidi="ar"/>
        </w:rPr>
      </w:pPr>
    </w:p>
    <w:p>
      <w:pPr>
        <w:widowControl/>
        <w:spacing w:line="560" w:lineRule="exact"/>
        <w:jc w:val="left"/>
        <w:textAlignment w:val="center"/>
        <w:rPr>
          <w:rFonts w:hint="eastAsia" w:ascii="黑体" w:hAnsi="黑体" w:eastAsia="黑体" w:cs="黑体"/>
          <w:color w:val="000000"/>
          <w:kern w:val="0"/>
          <w:sz w:val="32"/>
          <w:szCs w:val="32"/>
          <w:lang w:bidi="ar"/>
        </w:rPr>
      </w:pPr>
    </w:p>
    <w:p>
      <w:pPr>
        <w:widowControl/>
        <w:spacing w:line="560" w:lineRule="exact"/>
        <w:jc w:val="left"/>
        <w:textAlignment w:val="center"/>
        <w:rPr>
          <w:rFonts w:hint="eastAsia" w:ascii="黑体" w:hAnsi="黑体" w:eastAsia="黑体" w:cs="黑体"/>
          <w:color w:val="000000"/>
          <w:kern w:val="0"/>
          <w:sz w:val="32"/>
          <w:szCs w:val="32"/>
          <w:lang w:bidi="ar"/>
        </w:rPr>
      </w:pPr>
    </w:p>
    <w:p>
      <w:pPr>
        <w:widowControl/>
        <w:spacing w:line="560" w:lineRule="exact"/>
        <w:jc w:val="left"/>
        <w:textAlignment w:val="center"/>
        <w:rPr>
          <w:rFonts w:hint="eastAsia" w:ascii="黑体" w:hAnsi="黑体" w:eastAsia="黑体" w:cs="黑体"/>
          <w:color w:val="000000"/>
          <w:kern w:val="0"/>
          <w:sz w:val="32"/>
          <w:szCs w:val="32"/>
          <w:lang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2907BA"/>
    <w:rsid w:val="43557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21"/>
    <w:qFormat/>
    <w:uiPriority w:val="0"/>
    <w:rPr>
      <w:rFonts w:hint="eastAsia" w:ascii="仿宋_GB2312" w:eastAsia="仿宋_GB2312" w:cs="仿宋_GB2312"/>
      <w:color w:val="000000"/>
      <w:sz w:val="24"/>
      <w:szCs w:val="24"/>
      <w:u w:val="none"/>
    </w:rPr>
  </w:style>
  <w:style w:type="character" w:customStyle="1" w:styleId="5">
    <w:name w:val="font11"/>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lenovo</cp:lastModifiedBy>
  <dcterms:modified xsi:type="dcterms:W3CDTF">2021-04-30T01:53:17Z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